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40" w:rsidRPr="00FE6FF9" w:rsidRDefault="00236640" w:rsidP="00236640">
      <w:pPr>
        <w:rPr>
          <w:szCs w:val="24"/>
        </w:rPr>
      </w:pPr>
      <w:bookmarkStart w:id="0" w:name="_GoBack"/>
      <w:bookmarkEnd w:id="0"/>
      <w:r w:rsidRPr="00FE6FF9">
        <w:rPr>
          <w:szCs w:val="24"/>
        </w:rPr>
        <w:t xml:space="preserve">                  </w:t>
      </w:r>
      <w:r w:rsidRPr="00FE6FF9">
        <w:rPr>
          <w:noProof/>
          <w:szCs w:val="24"/>
          <w:lang w:val="hr-HR"/>
        </w:rPr>
        <w:drawing>
          <wp:inline distT="0" distB="0" distL="0" distR="0" wp14:anchorId="7695CF1C" wp14:editId="6C3760BA">
            <wp:extent cx="259080" cy="335280"/>
            <wp:effectExtent l="0" t="0" r="7620" b="7620"/>
            <wp:docPr id="1" name="Slika 1"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2.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9080" cy="335280"/>
                    </a:xfrm>
                    <a:prstGeom prst="rect">
                      <a:avLst/>
                    </a:prstGeom>
                    <a:noFill/>
                    <a:ln>
                      <a:noFill/>
                    </a:ln>
                  </pic:spPr>
                </pic:pic>
              </a:graphicData>
            </a:graphic>
          </wp:inline>
        </w:drawing>
      </w:r>
      <w:r w:rsidRPr="00FE6FF9">
        <w:rPr>
          <w:szCs w:val="24"/>
        </w:rPr>
        <w:t xml:space="preserve">                                                                                       </w:t>
      </w:r>
    </w:p>
    <w:p w:rsidR="00236640" w:rsidRPr="00FE6FF9" w:rsidRDefault="00236640" w:rsidP="00236640">
      <w:pPr>
        <w:rPr>
          <w:szCs w:val="24"/>
        </w:rPr>
      </w:pPr>
      <w:r w:rsidRPr="00FE6FF9">
        <w:rPr>
          <w:szCs w:val="24"/>
        </w:rPr>
        <w:t>REPUBLIKA HRVATSKA</w:t>
      </w:r>
    </w:p>
    <w:p w:rsidR="00236640" w:rsidRPr="00FE6FF9" w:rsidRDefault="00236640" w:rsidP="00236640">
      <w:pPr>
        <w:rPr>
          <w:szCs w:val="24"/>
        </w:rPr>
      </w:pPr>
      <w:r w:rsidRPr="00FE6FF9">
        <w:rPr>
          <w:szCs w:val="24"/>
        </w:rPr>
        <w:t>ŽUPANIJA ISTARSKA</w:t>
      </w:r>
    </w:p>
    <w:p w:rsidR="00236640" w:rsidRPr="00FE6FF9" w:rsidRDefault="00236640" w:rsidP="00236640">
      <w:pPr>
        <w:rPr>
          <w:szCs w:val="24"/>
        </w:rPr>
      </w:pPr>
      <w:r w:rsidRPr="00FE6FF9">
        <w:rPr>
          <w:szCs w:val="24"/>
        </w:rPr>
        <w:t>INDUSTRIJSKO - OBRTNIČKA ŠKOLA PULA</w:t>
      </w:r>
    </w:p>
    <w:p w:rsidR="00236640" w:rsidRPr="00FE6FF9" w:rsidRDefault="00236640" w:rsidP="00236640">
      <w:pPr>
        <w:rPr>
          <w:szCs w:val="24"/>
        </w:rPr>
      </w:pPr>
      <w:r w:rsidRPr="00FE6FF9">
        <w:rPr>
          <w:szCs w:val="24"/>
        </w:rPr>
        <w:t>Rizzijeva 40, 52100 Pula</w:t>
      </w:r>
    </w:p>
    <w:p w:rsidR="00236640" w:rsidRPr="00FE6FF9" w:rsidRDefault="00236640" w:rsidP="00236640">
      <w:pPr>
        <w:rPr>
          <w:szCs w:val="24"/>
        </w:rPr>
      </w:pPr>
      <w:r w:rsidRPr="00FE6FF9">
        <w:rPr>
          <w:szCs w:val="24"/>
        </w:rPr>
        <w:t>OIB: 21765234516; MB:0129364</w:t>
      </w:r>
    </w:p>
    <w:p w:rsidR="00236640" w:rsidRPr="00FE6FF9" w:rsidRDefault="00236640" w:rsidP="00236640">
      <w:pPr>
        <w:rPr>
          <w:szCs w:val="24"/>
        </w:rPr>
      </w:pPr>
      <w:r w:rsidRPr="00FE6FF9">
        <w:rPr>
          <w:szCs w:val="24"/>
        </w:rPr>
        <w:t>Tel: 052/216-121; Faks: 052/216-124</w:t>
      </w:r>
    </w:p>
    <w:p w:rsidR="00236640" w:rsidRPr="00FE6FF9" w:rsidRDefault="00236640" w:rsidP="00236640">
      <w:pPr>
        <w:rPr>
          <w:szCs w:val="24"/>
        </w:rPr>
      </w:pPr>
      <w:r w:rsidRPr="00FE6FF9">
        <w:rPr>
          <w:spacing w:val="20"/>
          <w:szCs w:val="24"/>
        </w:rPr>
        <w:t>E-mail:</w:t>
      </w:r>
      <w:r w:rsidRPr="00FE6FF9">
        <w:rPr>
          <w:szCs w:val="24"/>
        </w:rPr>
        <w:t>ios.pula@skole.hr</w:t>
      </w:r>
    </w:p>
    <w:p w:rsidR="00236640" w:rsidRPr="00FE6FF9" w:rsidRDefault="00236640" w:rsidP="00236640">
      <w:pPr>
        <w:rPr>
          <w:szCs w:val="24"/>
        </w:rPr>
      </w:pPr>
      <w:r w:rsidRPr="00FE6FF9">
        <w:rPr>
          <w:szCs w:val="24"/>
        </w:rPr>
        <w:t>KLASA: 400-04/</w:t>
      </w:r>
      <w:r w:rsidR="00915591" w:rsidRPr="00FE6FF9">
        <w:rPr>
          <w:szCs w:val="24"/>
        </w:rPr>
        <w:t>2</w:t>
      </w:r>
      <w:r w:rsidR="006D75F6" w:rsidRPr="00FE6FF9">
        <w:rPr>
          <w:szCs w:val="24"/>
        </w:rPr>
        <w:t>2</w:t>
      </w:r>
      <w:r w:rsidRPr="00FE6FF9">
        <w:rPr>
          <w:szCs w:val="24"/>
        </w:rPr>
        <w:t>-01/</w:t>
      </w:r>
      <w:r w:rsidR="007E79B4">
        <w:rPr>
          <w:szCs w:val="24"/>
        </w:rPr>
        <w:t>01</w:t>
      </w:r>
    </w:p>
    <w:p w:rsidR="00236640" w:rsidRPr="00FE6FF9" w:rsidRDefault="00236640" w:rsidP="00236640">
      <w:pPr>
        <w:rPr>
          <w:szCs w:val="24"/>
        </w:rPr>
      </w:pPr>
      <w:r w:rsidRPr="00FE6FF9">
        <w:rPr>
          <w:szCs w:val="24"/>
        </w:rPr>
        <w:t>URBROJ: 2168-22-</w:t>
      </w:r>
      <w:r w:rsidR="00915591" w:rsidRPr="00FE6FF9">
        <w:rPr>
          <w:szCs w:val="24"/>
        </w:rPr>
        <w:t>2</w:t>
      </w:r>
      <w:r w:rsidR="006D75F6" w:rsidRPr="00FE6FF9">
        <w:rPr>
          <w:szCs w:val="24"/>
        </w:rPr>
        <w:t>2</w:t>
      </w:r>
      <w:r w:rsidRPr="00FE6FF9">
        <w:rPr>
          <w:szCs w:val="24"/>
        </w:rPr>
        <w:t>-</w:t>
      </w:r>
      <w:r w:rsidR="007E79B4">
        <w:rPr>
          <w:szCs w:val="24"/>
        </w:rPr>
        <w:t>02</w:t>
      </w:r>
    </w:p>
    <w:p w:rsidR="00236640" w:rsidRPr="00FE6FF9" w:rsidRDefault="00236640" w:rsidP="00236640">
      <w:pPr>
        <w:rPr>
          <w:szCs w:val="24"/>
        </w:rPr>
      </w:pPr>
      <w:r w:rsidRPr="00FE6FF9">
        <w:rPr>
          <w:szCs w:val="24"/>
        </w:rPr>
        <w:t xml:space="preserve">Pula, </w:t>
      </w:r>
      <w:r w:rsidR="00CE3038" w:rsidRPr="00FE6FF9">
        <w:rPr>
          <w:szCs w:val="24"/>
        </w:rPr>
        <w:t>3</w:t>
      </w:r>
      <w:r w:rsidR="006D75F6" w:rsidRPr="00FE6FF9">
        <w:rPr>
          <w:szCs w:val="24"/>
        </w:rPr>
        <w:t>1</w:t>
      </w:r>
      <w:r w:rsidRPr="00FE6FF9">
        <w:rPr>
          <w:szCs w:val="24"/>
        </w:rPr>
        <w:t>.</w:t>
      </w:r>
      <w:r w:rsidR="007E79B4">
        <w:rPr>
          <w:szCs w:val="24"/>
        </w:rPr>
        <w:t>0</w:t>
      </w:r>
      <w:r w:rsidR="00CE3038" w:rsidRPr="00FE6FF9">
        <w:rPr>
          <w:szCs w:val="24"/>
        </w:rPr>
        <w:t>1</w:t>
      </w:r>
      <w:r w:rsidRPr="00FE6FF9">
        <w:rPr>
          <w:szCs w:val="24"/>
        </w:rPr>
        <w:t>.20</w:t>
      </w:r>
      <w:r w:rsidR="00915591" w:rsidRPr="00FE6FF9">
        <w:rPr>
          <w:szCs w:val="24"/>
        </w:rPr>
        <w:t>2</w:t>
      </w:r>
      <w:r w:rsidR="007E79B4">
        <w:rPr>
          <w:szCs w:val="24"/>
        </w:rPr>
        <w:t>3</w:t>
      </w:r>
      <w:r w:rsidRPr="00FE6FF9">
        <w:rPr>
          <w:szCs w:val="24"/>
        </w:rPr>
        <w:t>. godine</w:t>
      </w:r>
    </w:p>
    <w:p w:rsidR="00236640" w:rsidRPr="00FE6FF9" w:rsidRDefault="00236640" w:rsidP="00236640">
      <w:pPr>
        <w:rPr>
          <w:szCs w:val="24"/>
        </w:rPr>
      </w:pPr>
      <w:r w:rsidRPr="00FE6FF9">
        <w:rPr>
          <w:szCs w:val="24"/>
        </w:rPr>
        <w:t>Broj RKP-a: 17249</w:t>
      </w:r>
    </w:p>
    <w:p w:rsidR="00236640" w:rsidRPr="00FE6FF9" w:rsidRDefault="00236640" w:rsidP="00236640">
      <w:pPr>
        <w:rPr>
          <w:szCs w:val="24"/>
        </w:rPr>
      </w:pPr>
      <w:r w:rsidRPr="00FE6FF9">
        <w:rPr>
          <w:szCs w:val="24"/>
        </w:rPr>
        <w:t>Razina: 31</w:t>
      </w:r>
    </w:p>
    <w:p w:rsidR="00236640" w:rsidRPr="00FE6FF9" w:rsidRDefault="00236640" w:rsidP="00236640">
      <w:pPr>
        <w:rPr>
          <w:szCs w:val="24"/>
        </w:rPr>
      </w:pPr>
      <w:r w:rsidRPr="00FE6FF9">
        <w:rPr>
          <w:szCs w:val="24"/>
        </w:rPr>
        <w:t>Šifra djelatnosti: 8532</w:t>
      </w:r>
    </w:p>
    <w:p w:rsidR="00236640" w:rsidRPr="00FE6FF9" w:rsidRDefault="00236640" w:rsidP="00236640">
      <w:pPr>
        <w:rPr>
          <w:szCs w:val="24"/>
        </w:rPr>
      </w:pPr>
      <w:r w:rsidRPr="00FE6FF9">
        <w:rPr>
          <w:szCs w:val="24"/>
        </w:rPr>
        <w:t>Razdjel: 000</w:t>
      </w:r>
    </w:p>
    <w:p w:rsidR="00A05FA4" w:rsidRPr="00FE6FF9" w:rsidRDefault="00236640" w:rsidP="00A05FA4">
      <w:pPr>
        <w:rPr>
          <w:szCs w:val="24"/>
        </w:rPr>
      </w:pPr>
      <w:r w:rsidRPr="00FE6FF9">
        <w:rPr>
          <w:szCs w:val="24"/>
        </w:rPr>
        <w:t>Šifra grada/općine: 359</w:t>
      </w:r>
    </w:p>
    <w:p w:rsidR="00A05FA4" w:rsidRPr="00FE6FF9" w:rsidRDefault="00A05FA4" w:rsidP="00A05FA4">
      <w:pPr>
        <w:rPr>
          <w:szCs w:val="24"/>
        </w:rPr>
      </w:pPr>
    </w:p>
    <w:p w:rsidR="007368E5" w:rsidRPr="00FE6FF9" w:rsidRDefault="007368E5" w:rsidP="00A05FA4">
      <w:pPr>
        <w:rPr>
          <w:szCs w:val="24"/>
        </w:rPr>
      </w:pPr>
    </w:p>
    <w:p w:rsidR="007368E5" w:rsidRPr="00FE6FF9" w:rsidRDefault="007368E5" w:rsidP="00A05FA4">
      <w:pPr>
        <w:jc w:val="center"/>
        <w:rPr>
          <w:b/>
          <w:bCs/>
          <w:szCs w:val="24"/>
          <w:lang w:val="hr-HR"/>
        </w:rPr>
      </w:pPr>
    </w:p>
    <w:p w:rsidR="00A05FA4" w:rsidRPr="00FE6FF9" w:rsidRDefault="00BC40E4" w:rsidP="00A05FA4">
      <w:pPr>
        <w:jc w:val="center"/>
        <w:rPr>
          <w:b/>
          <w:bCs/>
          <w:szCs w:val="24"/>
          <w:lang w:val="hr-HR"/>
        </w:rPr>
      </w:pPr>
      <w:r w:rsidRPr="00FE6FF9">
        <w:rPr>
          <w:b/>
          <w:bCs/>
          <w:szCs w:val="24"/>
          <w:lang w:val="hr-HR"/>
        </w:rPr>
        <w:t>BILJEŠKE UZ FINANCIJSKE IZVJEŠTAJE ZA RAZDOBLJE</w:t>
      </w:r>
    </w:p>
    <w:p w:rsidR="00A05FA4" w:rsidRPr="00FE6FF9" w:rsidRDefault="00BC40E4" w:rsidP="00A05FA4">
      <w:pPr>
        <w:jc w:val="center"/>
        <w:rPr>
          <w:b/>
          <w:bCs/>
          <w:szCs w:val="24"/>
          <w:lang w:val="hr-HR"/>
        </w:rPr>
      </w:pPr>
      <w:r w:rsidRPr="00FE6FF9">
        <w:rPr>
          <w:b/>
          <w:bCs/>
          <w:szCs w:val="24"/>
          <w:lang w:val="hr-HR"/>
        </w:rPr>
        <w:t>1. SIJEČNJA DO 3</w:t>
      </w:r>
      <w:r w:rsidR="00CE3038" w:rsidRPr="00FE6FF9">
        <w:rPr>
          <w:b/>
          <w:bCs/>
          <w:szCs w:val="24"/>
          <w:lang w:val="hr-HR"/>
        </w:rPr>
        <w:t>1</w:t>
      </w:r>
      <w:r w:rsidRPr="00FE6FF9">
        <w:rPr>
          <w:b/>
          <w:bCs/>
          <w:szCs w:val="24"/>
          <w:lang w:val="hr-HR"/>
        </w:rPr>
        <w:t xml:space="preserve">. </w:t>
      </w:r>
      <w:r w:rsidR="00CE3038" w:rsidRPr="00FE6FF9">
        <w:rPr>
          <w:b/>
          <w:bCs/>
          <w:szCs w:val="24"/>
          <w:lang w:val="hr-HR"/>
        </w:rPr>
        <w:t>PROSINCA</w:t>
      </w:r>
      <w:r w:rsidRPr="00FE6FF9">
        <w:rPr>
          <w:b/>
          <w:bCs/>
          <w:szCs w:val="24"/>
          <w:lang w:val="hr-HR"/>
        </w:rPr>
        <w:t xml:space="preserve"> 20</w:t>
      </w:r>
      <w:r w:rsidR="00915591" w:rsidRPr="00FE6FF9">
        <w:rPr>
          <w:b/>
          <w:bCs/>
          <w:szCs w:val="24"/>
          <w:lang w:val="hr-HR"/>
        </w:rPr>
        <w:t>2</w:t>
      </w:r>
      <w:r w:rsidR="006D75F6" w:rsidRPr="00FE6FF9">
        <w:rPr>
          <w:b/>
          <w:bCs/>
          <w:szCs w:val="24"/>
          <w:lang w:val="hr-HR"/>
        </w:rPr>
        <w:t>2</w:t>
      </w:r>
      <w:r w:rsidRPr="00FE6FF9">
        <w:rPr>
          <w:b/>
          <w:bCs/>
          <w:szCs w:val="24"/>
          <w:lang w:val="hr-HR"/>
        </w:rPr>
        <w:t>.</w:t>
      </w:r>
      <w:r w:rsidR="00CE3038" w:rsidRPr="00FE6FF9">
        <w:rPr>
          <w:b/>
          <w:bCs/>
          <w:szCs w:val="24"/>
          <w:lang w:val="hr-HR"/>
        </w:rPr>
        <w:t xml:space="preserve"> GODINE</w:t>
      </w:r>
    </w:p>
    <w:p w:rsidR="007368E5" w:rsidRPr="00FE6FF9" w:rsidRDefault="007368E5" w:rsidP="00A05FA4">
      <w:pPr>
        <w:rPr>
          <w:b/>
          <w:bCs/>
          <w:szCs w:val="24"/>
          <w:lang w:val="hr-HR"/>
        </w:rPr>
      </w:pPr>
    </w:p>
    <w:p w:rsidR="00FE6FF9" w:rsidRPr="008600C0" w:rsidRDefault="00FE6FF9" w:rsidP="00FE6FF9">
      <w:pPr>
        <w:rPr>
          <w:szCs w:val="24"/>
        </w:rPr>
      </w:pPr>
      <w:r w:rsidRPr="008600C0">
        <w:rPr>
          <w:szCs w:val="24"/>
        </w:rPr>
        <w:t xml:space="preserve">Industrijsko-obrtnička škola, Pula osnovana je </w:t>
      </w:r>
      <w:r w:rsidR="00B7667A">
        <w:rPr>
          <w:szCs w:val="24"/>
        </w:rPr>
        <w:t xml:space="preserve">1.9.1992. godine </w:t>
      </w:r>
      <w:r w:rsidRPr="008600C0">
        <w:rPr>
          <w:szCs w:val="24"/>
        </w:rPr>
        <w:t>s ciljem srednjoškolskog obrazovanja učenika za stjecanje srednje stručne spreme. Sjedište škole je u Puli, Rizzijeva 40</w:t>
      </w:r>
      <w:r w:rsidRPr="008600C0">
        <w:rPr>
          <w:bCs/>
          <w:szCs w:val="24"/>
          <w:lang w:val="hr-HR"/>
        </w:rPr>
        <w:t xml:space="preserve"> a ravnatelj škole je Dragan Radovanović, dipl.ing.</w:t>
      </w:r>
      <w:r w:rsidR="00B7667A">
        <w:rPr>
          <w:bCs/>
          <w:szCs w:val="24"/>
          <w:lang w:val="hr-HR"/>
        </w:rPr>
        <w:t xml:space="preserve"> koji je stupio na dužnost 3.8.2020. godine. </w:t>
      </w:r>
      <w:r w:rsidRPr="008600C0">
        <w:rPr>
          <w:szCs w:val="24"/>
        </w:rPr>
        <w:t>Škola je opremljena praktikumima, odnosno specijaliziranim učionicama za izvođenje nastave za industrijska i obrtnička zanimanja u oblasti strojarstva, elektrotehnike, graditeljstva i ostalih usluga. U školskoj godini 2022./2023. upisano je 212 učenika u 9 razrednih odjela. U Školi je zaposleno 39 radnika od čega 10 radnika radi u nepunom radnom vremenu. Redovna i dopunska nastava se odvija u jutarnjoj smjeni dok se u popodnevnim satima prostorije Škole (učionice i sportska dvorana) iznajmljuju te se na taj način ostvaruju vlastiti prihodi. Nastava se izvodi prema nastavnim planovima i programima koje je donijelo Ministarstvo znanosti i obrazovanja, operativnom Godišnjem izvedbenom odgojno-obrazovnom planu i programu rada te Školskom kurikulumu za školsku godinu 2022./2023.</w:t>
      </w:r>
    </w:p>
    <w:p w:rsidR="00FE6FF9" w:rsidRPr="008600C0" w:rsidRDefault="00FE6FF9" w:rsidP="00FE6FF9">
      <w:pPr>
        <w:rPr>
          <w:szCs w:val="24"/>
        </w:rPr>
      </w:pPr>
      <w:r w:rsidRPr="008600C0">
        <w:rPr>
          <w:szCs w:val="24"/>
        </w:rPr>
        <w:t>Poslovanje škole obavlja se temeljem Zakona o odgoju i obrazovanju u osnovnoj i srednjoj školi (NN 126/12-pročišćeni tekst; 94/13; 152/14; 07/17; 68/18; 97/19; 64/20), Zakon o lokalnoj i područnoj (regionalnoj) samoupravi (NN137/15; 123/17; 97/19), Temeljni kolektivni ugovor za službenike i namještenike (NN 128/2017 od 21.12.2017.), Odluka IŽ o kriterijima, mjerilima i načinu financiranja decentraliziranih funkcija srednjih škola i učeničkih domova za 2022. Zakon o ustanovama NN 76/93, 29/97, 47/99, 35/08 i 127/19), Zakon o proračunu (NN 87/08, 136/12, 15/15, 144/21), Zakon o fiskalnoj odgovornosti (NN 111/18), Pravilnik o proračunskom računovodstvu i računskom planu (NN 124/14, 118/15, 87/16, 3/18, 126/19 i 108/20), Upute za izradu proračuna jedinica lokalne uprave i samouprave za razdoblje 2022.-2024.</w:t>
      </w:r>
    </w:p>
    <w:p w:rsidR="00FE6FF9" w:rsidRPr="008600C0" w:rsidRDefault="00FE6FF9" w:rsidP="00FE6FF9">
      <w:pPr>
        <w:rPr>
          <w:bCs/>
          <w:szCs w:val="24"/>
          <w:lang w:val="hr-HR"/>
        </w:rPr>
      </w:pPr>
      <w:r w:rsidRPr="008600C0">
        <w:rPr>
          <w:bCs/>
          <w:szCs w:val="24"/>
          <w:lang w:val="hr-HR"/>
        </w:rPr>
        <w:t>Bilješke uz financijske izvještaje sastavila je Nevenka Kontošić, voditelj računovodstva.</w:t>
      </w:r>
    </w:p>
    <w:p w:rsidR="00FE6FF9" w:rsidRPr="008600C0" w:rsidRDefault="00FE6FF9" w:rsidP="00FE6FF9">
      <w:pPr>
        <w:ind w:firstLine="360"/>
        <w:rPr>
          <w:bCs/>
          <w:szCs w:val="24"/>
          <w:lang w:val="hr-HR"/>
        </w:rPr>
      </w:pPr>
    </w:p>
    <w:p w:rsidR="00FE6FF9" w:rsidRPr="00FE6FF9" w:rsidRDefault="00FE6FF9" w:rsidP="00A05FA4">
      <w:pPr>
        <w:rPr>
          <w:bCs/>
          <w:szCs w:val="24"/>
          <w:lang w:val="hr-HR"/>
        </w:rPr>
      </w:pPr>
    </w:p>
    <w:p w:rsidR="00A05FA4" w:rsidRDefault="00A05FA4" w:rsidP="00A05FA4">
      <w:pPr>
        <w:rPr>
          <w:bCs/>
          <w:szCs w:val="24"/>
          <w:lang w:val="hr-HR"/>
        </w:rPr>
      </w:pPr>
    </w:p>
    <w:p w:rsidR="00716C37" w:rsidRPr="00FE6FF9" w:rsidRDefault="00716C37" w:rsidP="00A05FA4">
      <w:pPr>
        <w:rPr>
          <w:bCs/>
          <w:szCs w:val="24"/>
          <w:lang w:val="hr-HR"/>
        </w:rPr>
      </w:pPr>
    </w:p>
    <w:p w:rsidR="00A05FA4" w:rsidRPr="00FE6FF9" w:rsidRDefault="00BC40E4" w:rsidP="00A05FA4">
      <w:pPr>
        <w:rPr>
          <w:b/>
          <w:szCs w:val="24"/>
          <w:u w:val="single"/>
        </w:rPr>
      </w:pPr>
      <w:r w:rsidRPr="00FE6FF9">
        <w:rPr>
          <w:b/>
          <w:szCs w:val="24"/>
          <w:u w:val="single"/>
        </w:rPr>
        <w:lastRenderedPageBreak/>
        <w:t>Bilješke uz obrazac OBVEZE</w:t>
      </w:r>
    </w:p>
    <w:p w:rsidR="008B5CB1" w:rsidRPr="00FE6FF9" w:rsidRDefault="008B5CB1" w:rsidP="008B5CB1">
      <w:pPr>
        <w:spacing w:before="120"/>
        <w:rPr>
          <w:bCs/>
          <w:szCs w:val="24"/>
          <w:lang w:val="hr-HR"/>
        </w:rPr>
      </w:pPr>
      <w:r w:rsidRPr="00FE6FF9">
        <w:rPr>
          <w:b/>
          <w:szCs w:val="24"/>
          <w:lang w:val="hr-HR"/>
        </w:rPr>
        <w:t>Šifra V00</w:t>
      </w:r>
      <w:r>
        <w:rPr>
          <w:b/>
          <w:szCs w:val="24"/>
          <w:lang w:val="hr-HR"/>
        </w:rPr>
        <w:t>1</w:t>
      </w:r>
      <w:r w:rsidRPr="00FE6FF9">
        <w:rPr>
          <w:bCs/>
          <w:szCs w:val="24"/>
          <w:lang w:val="hr-HR"/>
        </w:rPr>
        <w:t xml:space="preserve"> – Stanje obveza </w:t>
      </w:r>
      <w:r>
        <w:rPr>
          <w:bCs/>
          <w:szCs w:val="24"/>
          <w:lang w:val="hr-HR"/>
        </w:rPr>
        <w:t>1. siječnja odnosi se na nedospjele obveze za plaću i putne troškove za prosinac 2021. godine, obveze prema dobavljačima te za bolovanja prema HZZO budući da nije provedena kompenzacija.</w:t>
      </w:r>
    </w:p>
    <w:p w:rsidR="00A05FA4" w:rsidRDefault="006D75F6" w:rsidP="0071538C">
      <w:pPr>
        <w:spacing w:before="120"/>
        <w:rPr>
          <w:bCs/>
          <w:szCs w:val="24"/>
          <w:lang w:val="hr-HR"/>
        </w:rPr>
      </w:pPr>
      <w:r w:rsidRPr="00FE6FF9">
        <w:rPr>
          <w:b/>
          <w:szCs w:val="24"/>
          <w:lang w:val="hr-HR"/>
        </w:rPr>
        <w:t>Šifra V006</w:t>
      </w:r>
      <w:r w:rsidR="00BC40E4" w:rsidRPr="00FE6FF9">
        <w:rPr>
          <w:bCs/>
          <w:szCs w:val="24"/>
          <w:lang w:val="hr-HR"/>
        </w:rPr>
        <w:t xml:space="preserve"> – Stanje obveza na kraju izvještajnog razdoblja</w:t>
      </w:r>
      <w:r w:rsidR="0018090F">
        <w:rPr>
          <w:bCs/>
          <w:szCs w:val="24"/>
          <w:lang w:val="hr-HR"/>
        </w:rPr>
        <w:t xml:space="preserve"> u odnosu na stanje prethodne godine </w:t>
      </w:r>
      <w:r w:rsidR="00BC40E4" w:rsidRPr="00FE6FF9">
        <w:rPr>
          <w:bCs/>
          <w:szCs w:val="24"/>
          <w:lang w:val="hr-HR"/>
        </w:rPr>
        <w:t>sastoj</w:t>
      </w:r>
      <w:r w:rsidR="0018090F">
        <w:rPr>
          <w:bCs/>
          <w:szCs w:val="24"/>
          <w:lang w:val="hr-HR"/>
        </w:rPr>
        <w:t>i</w:t>
      </w:r>
      <w:r w:rsidR="00BC40E4" w:rsidRPr="00FE6FF9">
        <w:rPr>
          <w:bCs/>
          <w:szCs w:val="24"/>
          <w:lang w:val="hr-HR"/>
        </w:rPr>
        <w:t xml:space="preserve"> se od slijedećih obveza:</w:t>
      </w:r>
    </w:p>
    <w:p w:rsidR="007A00B3" w:rsidRPr="007A00B3" w:rsidRDefault="007A00B3" w:rsidP="0071538C">
      <w:pPr>
        <w:spacing w:before="120"/>
        <w:rPr>
          <w:bCs/>
          <w:sz w:val="8"/>
          <w:szCs w:val="8"/>
          <w:lang w:val="hr-HR"/>
        </w:rPr>
      </w:pPr>
    </w:p>
    <w:tbl>
      <w:tblPr>
        <w:tblW w:w="8789" w:type="dxa"/>
        <w:tblInd w:w="108" w:type="dxa"/>
        <w:tblLook w:val="04A0" w:firstRow="1" w:lastRow="0" w:firstColumn="1" w:lastColumn="0" w:noHBand="0" w:noVBand="1"/>
      </w:tblPr>
      <w:tblGrid>
        <w:gridCol w:w="3705"/>
        <w:gridCol w:w="1900"/>
        <w:gridCol w:w="1908"/>
        <w:gridCol w:w="1276"/>
      </w:tblGrid>
      <w:tr w:rsidR="007A00B3" w:rsidRPr="007A00B3" w:rsidTr="007A00B3">
        <w:trPr>
          <w:trHeight w:val="66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0B3" w:rsidRPr="007A00B3" w:rsidRDefault="007A00B3" w:rsidP="007A00B3">
            <w:pPr>
              <w:jc w:val="center"/>
              <w:rPr>
                <w:rFonts w:ascii="Times New Roman CE" w:hAnsi="Times New Roman CE"/>
                <w:szCs w:val="24"/>
                <w:lang w:val="hr-HR"/>
              </w:rPr>
            </w:pPr>
            <w:r w:rsidRPr="007A00B3">
              <w:rPr>
                <w:rFonts w:ascii="Times New Roman CE" w:hAnsi="Times New Roman CE"/>
                <w:szCs w:val="24"/>
                <w:lang w:val="hr-HR"/>
              </w:rPr>
              <w:t>OPIS OBVEZA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A00B3" w:rsidRPr="007A00B3" w:rsidRDefault="007A00B3" w:rsidP="007A00B3">
            <w:pPr>
              <w:jc w:val="center"/>
              <w:rPr>
                <w:rFonts w:ascii="Times New Roman CE" w:hAnsi="Times New Roman CE"/>
                <w:szCs w:val="24"/>
                <w:lang w:val="hr-HR"/>
              </w:rPr>
            </w:pPr>
            <w:r w:rsidRPr="007A00B3">
              <w:rPr>
                <w:rFonts w:ascii="Times New Roman CE" w:hAnsi="Times New Roman CE"/>
                <w:szCs w:val="24"/>
                <w:lang w:val="hr-HR"/>
              </w:rPr>
              <w:t>Stanje obveza na dan 31.12.2021.</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7A00B3" w:rsidRPr="007A00B3" w:rsidRDefault="007A00B3" w:rsidP="007A00B3">
            <w:pPr>
              <w:jc w:val="center"/>
              <w:rPr>
                <w:rFonts w:ascii="Times New Roman CE" w:hAnsi="Times New Roman CE"/>
                <w:szCs w:val="24"/>
                <w:lang w:val="hr-HR"/>
              </w:rPr>
            </w:pPr>
            <w:r w:rsidRPr="007A00B3">
              <w:rPr>
                <w:rFonts w:ascii="Times New Roman CE" w:hAnsi="Times New Roman CE"/>
                <w:szCs w:val="24"/>
                <w:lang w:val="hr-HR"/>
              </w:rPr>
              <w:t>Stanje obveza na dan 31.12.2022.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00B3" w:rsidRPr="007A00B3" w:rsidRDefault="007A00B3" w:rsidP="007A00B3">
            <w:pPr>
              <w:jc w:val="center"/>
              <w:rPr>
                <w:rFonts w:ascii="Times New Roman CE" w:hAnsi="Times New Roman CE"/>
                <w:szCs w:val="24"/>
                <w:lang w:val="hr-HR"/>
              </w:rPr>
            </w:pPr>
            <w:r w:rsidRPr="007A00B3">
              <w:rPr>
                <w:rFonts w:ascii="Times New Roman CE" w:hAnsi="Times New Roman CE"/>
                <w:szCs w:val="24"/>
                <w:lang w:val="hr-HR"/>
              </w:rPr>
              <w:t>Indeks u %</w:t>
            </w:r>
          </w:p>
        </w:tc>
      </w:tr>
      <w:tr w:rsidR="007A00B3" w:rsidRPr="007A00B3" w:rsidTr="007A00B3">
        <w:trPr>
          <w:trHeight w:val="312"/>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7A00B3" w:rsidRPr="007A00B3" w:rsidRDefault="007A00B3" w:rsidP="007A00B3">
            <w:pPr>
              <w:rPr>
                <w:rFonts w:ascii="Times New Roman CE" w:hAnsi="Times New Roman CE"/>
                <w:szCs w:val="24"/>
                <w:lang w:val="hr-HR"/>
              </w:rPr>
            </w:pPr>
            <w:r w:rsidRPr="007A00B3">
              <w:rPr>
                <w:rFonts w:ascii="Times New Roman CE" w:hAnsi="Times New Roman CE"/>
                <w:szCs w:val="24"/>
                <w:lang w:val="hr-HR"/>
              </w:rPr>
              <w:t>231 za zaposlene</w:t>
            </w:r>
          </w:p>
        </w:tc>
        <w:tc>
          <w:tcPr>
            <w:tcW w:w="1900"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397.339,56 </w:t>
            </w:r>
          </w:p>
        </w:tc>
        <w:tc>
          <w:tcPr>
            <w:tcW w:w="1908"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422.280,10 </w:t>
            </w:r>
          </w:p>
        </w:tc>
        <w:tc>
          <w:tcPr>
            <w:tcW w:w="1276"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 xml:space="preserve"> 106,28</w:t>
            </w:r>
          </w:p>
        </w:tc>
      </w:tr>
      <w:tr w:rsidR="007A00B3" w:rsidRPr="007A00B3" w:rsidTr="007A00B3">
        <w:trPr>
          <w:trHeight w:val="312"/>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7A00B3" w:rsidRPr="007A00B3" w:rsidRDefault="007A00B3" w:rsidP="007A00B3">
            <w:pPr>
              <w:rPr>
                <w:rFonts w:ascii="Times New Roman CE" w:hAnsi="Times New Roman CE"/>
                <w:szCs w:val="24"/>
                <w:lang w:val="hr-HR"/>
              </w:rPr>
            </w:pPr>
            <w:r w:rsidRPr="007A00B3">
              <w:rPr>
                <w:rFonts w:ascii="Times New Roman CE" w:hAnsi="Times New Roman CE"/>
                <w:szCs w:val="24"/>
                <w:lang w:val="hr-HR"/>
              </w:rPr>
              <w:t>232 za materijalne rashode</w:t>
            </w:r>
          </w:p>
        </w:tc>
        <w:tc>
          <w:tcPr>
            <w:tcW w:w="1900"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46.287,85 </w:t>
            </w:r>
          </w:p>
        </w:tc>
        <w:tc>
          <w:tcPr>
            <w:tcW w:w="1908"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27.202,10 </w:t>
            </w:r>
          </w:p>
        </w:tc>
        <w:tc>
          <w:tcPr>
            <w:tcW w:w="1276"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 xml:space="preserve"> 58,77</w:t>
            </w:r>
          </w:p>
        </w:tc>
      </w:tr>
      <w:tr w:rsidR="007A00B3" w:rsidRPr="007A00B3" w:rsidTr="007A00B3">
        <w:trPr>
          <w:trHeight w:val="312"/>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7A00B3" w:rsidRPr="007A00B3" w:rsidRDefault="007A00B3" w:rsidP="007A00B3">
            <w:pPr>
              <w:rPr>
                <w:rFonts w:ascii="Times New Roman CE" w:hAnsi="Times New Roman CE"/>
                <w:szCs w:val="24"/>
                <w:lang w:val="hr-HR"/>
              </w:rPr>
            </w:pPr>
            <w:r w:rsidRPr="007A00B3">
              <w:rPr>
                <w:rFonts w:ascii="Times New Roman CE" w:hAnsi="Times New Roman CE"/>
                <w:szCs w:val="24"/>
                <w:lang w:val="hr-HR"/>
              </w:rPr>
              <w:t>234 za financijske rashode</w:t>
            </w:r>
          </w:p>
        </w:tc>
        <w:tc>
          <w:tcPr>
            <w:tcW w:w="1900"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0,00 </w:t>
            </w:r>
          </w:p>
        </w:tc>
        <w:tc>
          <w:tcPr>
            <w:tcW w:w="1908"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 xml:space="preserve"> 0,00</w:t>
            </w:r>
          </w:p>
        </w:tc>
      </w:tr>
      <w:tr w:rsidR="007A00B3" w:rsidRPr="007A00B3" w:rsidTr="007A00B3">
        <w:trPr>
          <w:trHeight w:val="312"/>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7A00B3" w:rsidRPr="007A00B3" w:rsidRDefault="007A00B3" w:rsidP="007A00B3">
            <w:pPr>
              <w:rPr>
                <w:rFonts w:ascii="Times New Roman CE" w:hAnsi="Times New Roman CE"/>
                <w:szCs w:val="24"/>
                <w:lang w:val="hr-HR"/>
              </w:rPr>
            </w:pPr>
            <w:r w:rsidRPr="007A00B3">
              <w:rPr>
                <w:rFonts w:ascii="Times New Roman CE" w:hAnsi="Times New Roman CE"/>
                <w:szCs w:val="24"/>
                <w:lang w:val="hr-HR"/>
              </w:rPr>
              <w:t>239 ostale tekuće obveze</w:t>
            </w:r>
          </w:p>
        </w:tc>
        <w:tc>
          <w:tcPr>
            <w:tcW w:w="1900"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18.166,79 </w:t>
            </w:r>
          </w:p>
        </w:tc>
        <w:tc>
          <w:tcPr>
            <w:tcW w:w="1908"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24.725,30 </w:t>
            </w:r>
          </w:p>
        </w:tc>
        <w:tc>
          <w:tcPr>
            <w:tcW w:w="1276"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 xml:space="preserve"> 136,10</w:t>
            </w:r>
          </w:p>
        </w:tc>
      </w:tr>
      <w:tr w:rsidR="007A00B3" w:rsidRPr="007A00B3" w:rsidTr="007A00B3">
        <w:trPr>
          <w:trHeight w:val="312"/>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7A00B3" w:rsidRPr="007A00B3" w:rsidRDefault="007A00B3" w:rsidP="007A00B3">
            <w:pPr>
              <w:rPr>
                <w:rFonts w:ascii="Times New Roman CE" w:hAnsi="Times New Roman CE"/>
                <w:szCs w:val="24"/>
                <w:lang w:val="hr-HR"/>
              </w:rPr>
            </w:pPr>
            <w:r w:rsidRPr="007A00B3">
              <w:rPr>
                <w:rFonts w:ascii="Times New Roman CE" w:hAnsi="Times New Roman CE"/>
                <w:szCs w:val="24"/>
                <w:lang w:val="hr-HR"/>
              </w:rPr>
              <w:t>242 za nabavu nefincijske imovine</w:t>
            </w:r>
          </w:p>
        </w:tc>
        <w:tc>
          <w:tcPr>
            <w:tcW w:w="1900"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0,00 </w:t>
            </w:r>
          </w:p>
        </w:tc>
        <w:tc>
          <w:tcPr>
            <w:tcW w:w="1908"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7A00B3">
            <w:pPr>
              <w:jc w:val="right"/>
              <w:rPr>
                <w:rFonts w:ascii="Times New Roman CE" w:hAnsi="Times New Roman CE"/>
                <w:szCs w:val="24"/>
                <w:lang w:val="hr-HR"/>
              </w:rPr>
            </w:pPr>
            <w:r w:rsidRPr="007A00B3">
              <w:rPr>
                <w:rFonts w:ascii="Times New Roman CE" w:hAnsi="Times New Roman CE"/>
                <w:szCs w:val="24"/>
                <w:lang w:val="hr-HR"/>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 xml:space="preserve"> 0,00</w:t>
            </w:r>
          </w:p>
        </w:tc>
      </w:tr>
      <w:tr w:rsidR="007A00B3" w:rsidRPr="007A00B3" w:rsidTr="007A00B3">
        <w:trPr>
          <w:trHeight w:val="312"/>
        </w:trPr>
        <w:tc>
          <w:tcPr>
            <w:tcW w:w="3705" w:type="dxa"/>
            <w:tcBorders>
              <w:top w:val="nil"/>
              <w:left w:val="single" w:sz="4" w:space="0" w:color="auto"/>
              <w:bottom w:val="single" w:sz="4" w:space="0" w:color="auto"/>
              <w:right w:val="single" w:sz="4" w:space="0" w:color="auto"/>
            </w:tcBorders>
            <w:shd w:val="clear" w:color="000000" w:fill="FFFFFF"/>
            <w:noWrap/>
            <w:vAlign w:val="center"/>
            <w:hideMark/>
          </w:tcPr>
          <w:p w:rsidR="007A00B3" w:rsidRPr="007A00B3" w:rsidRDefault="007A00B3" w:rsidP="007A00B3">
            <w:pPr>
              <w:jc w:val="center"/>
              <w:rPr>
                <w:rFonts w:ascii="Times New Roman CE" w:hAnsi="Times New Roman CE"/>
                <w:szCs w:val="24"/>
                <w:lang w:val="hr-HR"/>
              </w:rPr>
            </w:pPr>
            <w:r w:rsidRPr="007A00B3">
              <w:rPr>
                <w:rFonts w:ascii="Times New Roman CE" w:hAnsi="Times New Roman CE"/>
                <w:szCs w:val="24"/>
                <w:lang w:val="hr-HR"/>
              </w:rPr>
              <w:t xml:space="preserve"> UKUPNO</w:t>
            </w:r>
          </w:p>
        </w:tc>
        <w:tc>
          <w:tcPr>
            <w:tcW w:w="1900" w:type="dxa"/>
            <w:tcBorders>
              <w:top w:val="nil"/>
              <w:left w:val="nil"/>
              <w:bottom w:val="single" w:sz="4" w:space="0" w:color="auto"/>
              <w:right w:val="single" w:sz="4" w:space="0" w:color="auto"/>
            </w:tcBorders>
            <w:shd w:val="clear" w:color="000000" w:fill="FFFFFF"/>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461 794,20</w:t>
            </w:r>
          </w:p>
        </w:tc>
        <w:tc>
          <w:tcPr>
            <w:tcW w:w="1908" w:type="dxa"/>
            <w:tcBorders>
              <w:top w:val="nil"/>
              <w:left w:val="nil"/>
              <w:bottom w:val="single" w:sz="4" w:space="0" w:color="auto"/>
              <w:right w:val="single" w:sz="4" w:space="0" w:color="auto"/>
            </w:tcBorders>
            <w:shd w:val="clear" w:color="000000" w:fill="FFFFFF"/>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474 207,50</w:t>
            </w:r>
          </w:p>
        </w:tc>
        <w:tc>
          <w:tcPr>
            <w:tcW w:w="1276" w:type="dxa"/>
            <w:tcBorders>
              <w:top w:val="nil"/>
              <w:left w:val="nil"/>
              <w:bottom w:val="single" w:sz="4" w:space="0" w:color="auto"/>
              <w:right w:val="single" w:sz="4" w:space="0" w:color="auto"/>
            </w:tcBorders>
            <w:shd w:val="clear" w:color="auto" w:fill="auto"/>
            <w:noWrap/>
            <w:vAlign w:val="center"/>
            <w:hideMark/>
          </w:tcPr>
          <w:p w:rsidR="007A00B3" w:rsidRPr="007A00B3" w:rsidRDefault="007A00B3" w:rsidP="005507B8">
            <w:pPr>
              <w:jc w:val="right"/>
              <w:rPr>
                <w:rFonts w:ascii="Times New Roman CE" w:hAnsi="Times New Roman CE"/>
                <w:szCs w:val="24"/>
                <w:lang w:val="hr-HR"/>
              </w:rPr>
            </w:pPr>
            <w:r w:rsidRPr="007A00B3">
              <w:rPr>
                <w:rFonts w:ascii="Times New Roman CE" w:hAnsi="Times New Roman CE"/>
                <w:szCs w:val="24"/>
                <w:lang w:val="hr-HR"/>
              </w:rPr>
              <w:t>102,69</w:t>
            </w:r>
          </w:p>
        </w:tc>
      </w:tr>
    </w:tbl>
    <w:p w:rsidR="0018090F" w:rsidRPr="007A00B3" w:rsidRDefault="0018090F" w:rsidP="0071538C">
      <w:pPr>
        <w:spacing w:before="120"/>
        <w:rPr>
          <w:bCs/>
          <w:sz w:val="8"/>
          <w:szCs w:val="8"/>
          <w:lang w:val="hr-HR"/>
        </w:rPr>
      </w:pPr>
    </w:p>
    <w:p w:rsidR="003F6ADC" w:rsidRPr="00FE6FF9" w:rsidRDefault="0006284B" w:rsidP="0006284B">
      <w:pPr>
        <w:rPr>
          <w:bCs/>
          <w:szCs w:val="24"/>
          <w:lang w:val="hr-HR"/>
        </w:rPr>
      </w:pPr>
      <w:r w:rsidRPr="00FE6FF9">
        <w:rPr>
          <w:b/>
          <w:szCs w:val="24"/>
          <w:lang w:val="hr-HR"/>
        </w:rPr>
        <w:t xml:space="preserve">Šifra </w:t>
      </w:r>
      <w:r w:rsidR="00BA78A3" w:rsidRPr="00FE6FF9">
        <w:rPr>
          <w:b/>
          <w:szCs w:val="24"/>
          <w:lang w:val="hr-HR"/>
        </w:rPr>
        <w:t>V009</w:t>
      </w:r>
      <w:r w:rsidRPr="00FE6FF9">
        <w:rPr>
          <w:b/>
          <w:szCs w:val="24"/>
          <w:lang w:val="hr-HR"/>
        </w:rPr>
        <w:t xml:space="preserve"> </w:t>
      </w:r>
      <w:r w:rsidR="00BC40E4" w:rsidRPr="00FE6FF9">
        <w:rPr>
          <w:bCs/>
          <w:szCs w:val="24"/>
          <w:lang w:val="hr-HR"/>
        </w:rPr>
        <w:t>– Stanje nedospjelih obveza</w:t>
      </w:r>
      <w:r w:rsidR="005A0683" w:rsidRPr="00FE6FF9">
        <w:rPr>
          <w:bCs/>
          <w:szCs w:val="24"/>
          <w:lang w:val="hr-HR"/>
        </w:rPr>
        <w:t xml:space="preserve"> za rashode poslovanja </w:t>
      </w:r>
      <w:r w:rsidR="00950C7D" w:rsidRPr="00FE6FF9">
        <w:rPr>
          <w:bCs/>
          <w:szCs w:val="24"/>
          <w:lang w:val="hr-HR"/>
        </w:rPr>
        <w:t xml:space="preserve">u iznosu od </w:t>
      </w:r>
      <w:r w:rsidR="005A0683" w:rsidRPr="00FE6FF9">
        <w:rPr>
          <w:bCs/>
          <w:szCs w:val="24"/>
          <w:lang w:val="hr-HR"/>
        </w:rPr>
        <w:t>4</w:t>
      </w:r>
      <w:r w:rsidR="00F95E47">
        <w:rPr>
          <w:bCs/>
          <w:szCs w:val="24"/>
          <w:lang w:val="hr-HR"/>
        </w:rPr>
        <w:t>7</w:t>
      </w:r>
      <w:r w:rsidRPr="00FE6FF9">
        <w:rPr>
          <w:bCs/>
          <w:szCs w:val="24"/>
          <w:lang w:val="hr-HR"/>
        </w:rPr>
        <w:t>4</w:t>
      </w:r>
      <w:r w:rsidR="00950C7D" w:rsidRPr="00FE6FF9">
        <w:rPr>
          <w:bCs/>
          <w:szCs w:val="24"/>
          <w:lang w:val="hr-HR"/>
        </w:rPr>
        <w:t>.</w:t>
      </w:r>
      <w:r w:rsidRPr="00FE6FF9">
        <w:rPr>
          <w:bCs/>
          <w:szCs w:val="24"/>
          <w:lang w:val="hr-HR"/>
        </w:rPr>
        <w:t>20</w:t>
      </w:r>
      <w:r w:rsidR="00F95E47">
        <w:rPr>
          <w:bCs/>
          <w:szCs w:val="24"/>
          <w:lang w:val="hr-HR"/>
        </w:rPr>
        <w:t>7</w:t>
      </w:r>
      <w:r w:rsidRPr="00FE6FF9">
        <w:rPr>
          <w:bCs/>
          <w:szCs w:val="24"/>
          <w:lang w:val="hr-HR"/>
        </w:rPr>
        <w:t>,</w:t>
      </w:r>
      <w:r w:rsidR="00F95E47">
        <w:rPr>
          <w:bCs/>
          <w:szCs w:val="24"/>
          <w:lang w:val="hr-HR"/>
        </w:rPr>
        <w:t>5</w:t>
      </w:r>
      <w:r w:rsidR="00CA2DAC" w:rsidRPr="00FE6FF9">
        <w:rPr>
          <w:bCs/>
          <w:szCs w:val="24"/>
          <w:lang w:val="hr-HR"/>
        </w:rPr>
        <w:t>0</w:t>
      </w:r>
      <w:r w:rsidR="005A0683" w:rsidRPr="00FE6FF9">
        <w:rPr>
          <w:bCs/>
          <w:szCs w:val="24"/>
          <w:lang w:val="hr-HR"/>
        </w:rPr>
        <w:t xml:space="preserve"> </w:t>
      </w:r>
      <w:r w:rsidR="00950C7D" w:rsidRPr="00FE6FF9">
        <w:rPr>
          <w:bCs/>
          <w:szCs w:val="24"/>
          <w:lang w:val="hr-HR"/>
        </w:rPr>
        <w:t xml:space="preserve">kn sačinjavaju obveze za zaposlene </w:t>
      </w:r>
      <w:r w:rsidR="003F6ADC" w:rsidRPr="00FE6FF9">
        <w:rPr>
          <w:bCs/>
          <w:szCs w:val="24"/>
          <w:lang w:val="hr-HR"/>
        </w:rPr>
        <w:t xml:space="preserve">za isplatu plaće za mjesec </w:t>
      </w:r>
      <w:r w:rsidR="00F95E47">
        <w:rPr>
          <w:bCs/>
          <w:szCs w:val="24"/>
          <w:lang w:val="hr-HR"/>
        </w:rPr>
        <w:t>prosinac</w:t>
      </w:r>
      <w:r w:rsidR="003F6ADC" w:rsidRPr="00FE6FF9">
        <w:rPr>
          <w:bCs/>
          <w:szCs w:val="24"/>
          <w:lang w:val="hr-HR"/>
        </w:rPr>
        <w:t xml:space="preserve"> 20</w:t>
      </w:r>
      <w:r w:rsidR="00915591" w:rsidRPr="00FE6FF9">
        <w:rPr>
          <w:bCs/>
          <w:szCs w:val="24"/>
          <w:lang w:val="hr-HR"/>
        </w:rPr>
        <w:t>2</w:t>
      </w:r>
      <w:r w:rsidRPr="00FE6FF9">
        <w:rPr>
          <w:bCs/>
          <w:szCs w:val="24"/>
          <w:lang w:val="hr-HR"/>
        </w:rPr>
        <w:t>2</w:t>
      </w:r>
      <w:r w:rsidR="003F6ADC" w:rsidRPr="00FE6FF9">
        <w:rPr>
          <w:bCs/>
          <w:szCs w:val="24"/>
          <w:lang w:val="hr-HR"/>
        </w:rPr>
        <w:t xml:space="preserve">. godine </w:t>
      </w:r>
      <w:r w:rsidR="00950C7D" w:rsidRPr="00FE6FF9">
        <w:rPr>
          <w:bCs/>
          <w:szCs w:val="24"/>
          <w:lang w:val="hr-HR"/>
        </w:rPr>
        <w:t>(</w:t>
      </w:r>
      <w:r w:rsidR="00F95E47">
        <w:rPr>
          <w:bCs/>
          <w:szCs w:val="24"/>
          <w:lang w:val="hr-HR"/>
        </w:rPr>
        <w:t>422</w:t>
      </w:r>
      <w:r w:rsidR="00950C7D" w:rsidRPr="00FE6FF9">
        <w:rPr>
          <w:bCs/>
          <w:szCs w:val="24"/>
          <w:lang w:val="hr-HR"/>
        </w:rPr>
        <w:t>.</w:t>
      </w:r>
      <w:r w:rsidR="00F95E47">
        <w:rPr>
          <w:bCs/>
          <w:szCs w:val="24"/>
          <w:lang w:val="hr-HR"/>
        </w:rPr>
        <w:t>280</w:t>
      </w:r>
      <w:r w:rsidRPr="00FE6FF9">
        <w:rPr>
          <w:bCs/>
          <w:szCs w:val="24"/>
          <w:lang w:val="hr-HR"/>
        </w:rPr>
        <w:t>,</w:t>
      </w:r>
      <w:r w:rsidR="00F95E47">
        <w:rPr>
          <w:bCs/>
          <w:szCs w:val="24"/>
          <w:lang w:val="hr-HR"/>
        </w:rPr>
        <w:t>10</w:t>
      </w:r>
      <w:r w:rsidR="00950C7D" w:rsidRPr="00FE6FF9">
        <w:rPr>
          <w:bCs/>
          <w:szCs w:val="24"/>
          <w:lang w:val="hr-HR"/>
        </w:rPr>
        <w:t xml:space="preserve">), </w:t>
      </w:r>
      <w:r w:rsidR="00915591" w:rsidRPr="00FE6FF9">
        <w:rPr>
          <w:bCs/>
          <w:szCs w:val="24"/>
          <w:lang w:val="hr-HR"/>
        </w:rPr>
        <w:t>naknade zaposlenima za prijevoz na posao i s posla (</w:t>
      </w:r>
      <w:r w:rsidRPr="00FE6FF9">
        <w:rPr>
          <w:bCs/>
          <w:szCs w:val="24"/>
          <w:lang w:val="hr-HR"/>
        </w:rPr>
        <w:t>1</w:t>
      </w:r>
      <w:r w:rsidR="00F95E47">
        <w:rPr>
          <w:bCs/>
          <w:szCs w:val="24"/>
          <w:lang w:val="hr-HR"/>
        </w:rPr>
        <w:t>3</w:t>
      </w:r>
      <w:r w:rsidR="00915591" w:rsidRPr="00FE6FF9">
        <w:rPr>
          <w:bCs/>
          <w:szCs w:val="24"/>
          <w:lang w:val="hr-HR"/>
        </w:rPr>
        <w:t>.</w:t>
      </w:r>
      <w:r w:rsidR="00F95E47">
        <w:rPr>
          <w:bCs/>
          <w:szCs w:val="24"/>
          <w:lang w:val="hr-HR"/>
        </w:rPr>
        <w:t>251</w:t>
      </w:r>
      <w:r w:rsidRPr="00FE6FF9">
        <w:rPr>
          <w:bCs/>
          <w:szCs w:val="24"/>
          <w:lang w:val="hr-HR"/>
        </w:rPr>
        <w:t>,0</w:t>
      </w:r>
      <w:r w:rsidR="00F95E47">
        <w:rPr>
          <w:bCs/>
          <w:szCs w:val="24"/>
          <w:lang w:val="hr-HR"/>
        </w:rPr>
        <w:t>8</w:t>
      </w:r>
      <w:r w:rsidR="00915591" w:rsidRPr="00FE6FF9">
        <w:rPr>
          <w:bCs/>
          <w:szCs w:val="24"/>
          <w:lang w:val="hr-HR"/>
        </w:rPr>
        <w:t xml:space="preserve">), </w:t>
      </w:r>
      <w:r w:rsidR="003F6ADC" w:rsidRPr="00FE6FF9">
        <w:rPr>
          <w:bCs/>
          <w:szCs w:val="24"/>
          <w:lang w:val="hr-HR"/>
        </w:rPr>
        <w:t xml:space="preserve">obveze prema dobavljačima za materijalne </w:t>
      </w:r>
      <w:r w:rsidR="00915591" w:rsidRPr="00FE6FF9">
        <w:rPr>
          <w:bCs/>
          <w:szCs w:val="24"/>
          <w:lang w:val="hr-HR"/>
        </w:rPr>
        <w:t>r</w:t>
      </w:r>
      <w:r w:rsidR="003F6ADC" w:rsidRPr="00FE6FF9">
        <w:rPr>
          <w:bCs/>
          <w:szCs w:val="24"/>
          <w:lang w:val="hr-HR"/>
        </w:rPr>
        <w:t>ashod</w:t>
      </w:r>
      <w:r w:rsidR="00915591" w:rsidRPr="00FE6FF9">
        <w:rPr>
          <w:bCs/>
          <w:szCs w:val="24"/>
          <w:lang w:val="hr-HR"/>
        </w:rPr>
        <w:t>e</w:t>
      </w:r>
      <w:r w:rsidR="003F6ADC" w:rsidRPr="00FE6FF9">
        <w:rPr>
          <w:bCs/>
          <w:szCs w:val="24"/>
          <w:lang w:val="hr-HR"/>
        </w:rPr>
        <w:t xml:space="preserve"> </w:t>
      </w:r>
      <w:r w:rsidR="00950C7D" w:rsidRPr="00FE6FF9">
        <w:rPr>
          <w:bCs/>
          <w:szCs w:val="24"/>
          <w:lang w:val="hr-HR"/>
        </w:rPr>
        <w:t>(</w:t>
      </w:r>
      <w:r w:rsidR="00F95E47">
        <w:rPr>
          <w:bCs/>
          <w:szCs w:val="24"/>
          <w:lang w:val="hr-HR"/>
        </w:rPr>
        <w:t>13</w:t>
      </w:r>
      <w:r w:rsidR="005A0683" w:rsidRPr="00FE6FF9">
        <w:rPr>
          <w:bCs/>
          <w:szCs w:val="24"/>
          <w:lang w:val="hr-HR"/>
        </w:rPr>
        <w:t>.</w:t>
      </w:r>
      <w:r w:rsidR="00F95E47">
        <w:rPr>
          <w:bCs/>
          <w:szCs w:val="24"/>
          <w:lang w:val="hr-HR"/>
        </w:rPr>
        <w:t>951</w:t>
      </w:r>
      <w:r w:rsidRPr="00FE6FF9">
        <w:rPr>
          <w:bCs/>
          <w:szCs w:val="24"/>
          <w:lang w:val="hr-HR"/>
        </w:rPr>
        <w:t>,</w:t>
      </w:r>
      <w:r w:rsidR="00F95E47">
        <w:rPr>
          <w:bCs/>
          <w:szCs w:val="24"/>
          <w:lang w:val="hr-HR"/>
        </w:rPr>
        <w:t>02</w:t>
      </w:r>
      <w:r w:rsidR="00950C7D" w:rsidRPr="00FE6FF9">
        <w:rPr>
          <w:bCs/>
          <w:szCs w:val="24"/>
          <w:lang w:val="hr-HR"/>
        </w:rPr>
        <w:t>)</w:t>
      </w:r>
      <w:r w:rsidR="00915591" w:rsidRPr="00FE6FF9">
        <w:rPr>
          <w:bCs/>
          <w:szCs w:val="24"/>
          <w:lang w:val="hr-HR"/>
        </w:rPr>
        <w:t xml:space="preserve">, </w:t>
      </w:r>
      <w:r w:rsidR="00F95E47" w:rsidRPr="00F95E47">
        <w:rPr>
          <w:bCs/>
          <w:szCs w:val="24"/>
          <w:lang w:val="hr-HR"/>
        </w:rPr>
        <w:t>prema HZZO-u za bolovanje iznad 42 dana (5.798,52 kn), za povrat poreza i prireza u DP temeljem Godišnjeg obračuna poreza na dohodak i prireza porezu na dohodak</w:t>
      </w:r>
      <w:r w:rsidR="004617AC" w:rsidRPr="00FE6FF9">
        <w:rPr>
          <w:bCs/>
          <w:szCs w:val="24"/>
          <w:lang w:val="hr-HR"/>
        </w:rPr>
        <w:t xml:space="preserve"> </w:t>
      </w:r>
      <w:r w:rsidR="00F95E47">
        <w:rPr>
          <w:bCs/>
          <w:szCs w:val="24"/>
          <w:lang w:val="hr-HR"/>
        </w:rPr>
        <w:t>(1.426,78 kn) te</w:t>
      </w:r>
      <w:r w:rsidR="004617AC" w:rsidRPr="00FE6FF9">
        <w:rPr>
          <w:bCs/>
          <w:szCs w:val="24"/>
          <w:lang w:val="hr-HR"/>
        </w:rPr>
        <w:t xml:space="preserve"> </w:t>
      </w:r>
      <w:r w:rsidR="00CA2DAC" w:rsidRPr="00FE6FF9">
        <w:rPr>
          <w:bCs/>
          <w:szCs w:val="24"/>
          <w:lang w:val="hr-HR"/>
        </w:rPr>
        <w:t>na uplaćen</w:t>
      </w:r>
      <w:r w:rsidR="00F95E47">
        <w:rPr>
          <w:bCs/>
          <w:szCs w:val="24"/>
          <w:lang w:val="hr-HR"/>
        </w:rPr>
        <w:t>e</w:t>
      </w:r>
      <w:r w:rsidR="00CA2DAC" w:rsidRPr="00FE6FF9">
        <w:rPr>
          <w:bCs/>
          <w:szCs w:val="24"/>
          <w:lang w:val="hr-HR"/>
        </w:rPr>
        <w:t xml:space="preserve"> jamčevin</w:t>
      </w:r>
      <w:r w:rsidR="00F95E47">
        <w:rPr>
          <w:bCs/>
          <w:szCs w:val="24"/>
          <w:lang w:val="hr-HR"/>
        </w:rPr>
        <w:t>e</w:t>
      </w:r>
      <w:r w:rsidR="00CA2DAC" w:rsidRPr="00FE6FF9">
        <w:rPr>
          <w:bCs/>
          <w:szCs w:val="24"/>
          <w:lang w:val="hr-HR"/>
        </w:rPr>
        <w:t xml:space="preserve"> u postupku Javne nabave (</w:t>
      </w:r>
      <w:r w:rsidR="00F95E47">
        <w:rPr>
          <w:bCs/>
          <w:szCs w:val="24"/>
          <w:lang w:val="hr-HR"/>
        </w:rPr>
        <w:t>1</w:t>
      </w:r>
      <w:r w:rsidR="00CA2DAC" w:rsidRPr="00FE6FF9">
        <w:rPr>
          <w:bCs/>
          <w:szCs w:val="24"/>
          <w:lang w:val="hr-HR"/>
        </w:rPr>
        <w:t>7</w:t>
      </w:r>
      <w:r w:rsidR="00F95E47">
        <w:rPr>
          <w:bCs/>
          <w:szCs w:val="24"/>
          <w:lang w:val="hr-HR"/>
        </w:rPr>
        <w:t>.5</w:t>
      </w:r>
      <w:r w:rsidR="00CA2DAC" w:rsidRPr="00FE6FF9">
        <w:rPr>
          <w:bCs/>
          <w:szCs w:val="24"/>
          <w:lang w:val="hr-HR"/>
        </w:rPr>
        <w:t>00,00</w:t>
      </w:r>
      <w:r w:rsidR="00716C37">
        <w:rPr>
          <w:bCs/>
          <w:szCs w:val="24"/>
          <w:lang w:val="hr-HR"/>
        </w:rPr>
        <w:t xml:space="preserve"> kn</w:t>
      </w:r>
      <w:r w:rsidR="00CA2DAC" w:rsidRPr="00FE6FF9">
        <w:rPr>
          <w:bCs/>
          <w:szCs w:val="24"/>
          <w:lang w:val="hr-HR"/>
        </w:rPr>
        <w:t>)</w:t>
      </w:r>
      <w:r w:rsidR="005A0683" w:rsidRPr="00FE6FF9">
        <w:rPr>
          <w:bCs/>
          <w:szCs w:val="24"/>
          <w:lang w:val="hr-HR"/>
        </w:rPr>
        <w:t>.</w:t>
      </w:r>
    </w:p>
    <w:p w:rsidR="007368E5" w:rsidRPr="00FE6FF9" w:rsidRDefault="007368E5" w:rsidP="003F6ADC">
      <w:pPr>
        <w:rPr>
          <w:b/>
          <w:szCs w:val="24"/>
          <w:u w:val="single"/>
        </w:rPr>
      </w:pPr>
    </w:p>
    <w:p w:rsidR="003F6ADC" w:rsidRPr="00FE6FF9" w:rsidRDefault="00BC40E4" w:rsidP="003F6ADC">
      <w:pPr>
        <w:rPr>
          <w:b/>
          <w:szCs w:val="24"/>
          <w:u w:val="single"/>
        </w:rPr>
      </w:pPr>
      <w:r w:rsidRPr="00FE6FF9">
        <w:rPr>
          <w:b/>
          <w:szCs w:val="24"/>
          <w:u w:val="single"/>
        </w:rPr>
        <w:t>Bilješke uz obrazac PR-RAS</w:t>
      </w:r>
    </w:p>
    <w:p w:rsidR="007677FE" w:rsidRPr="007677FE" w:rsidRDefault="0046151E" w:rsidP="007677FE">
      <w:pPr>
        <w:spacing w:before="120"/>
        <w:rPr>
          <w:bCs/>
          <w:szCs w:val="24"/>
        </w:rPr>
      </w:pPr>
      <w:r w:rsidRPr="00FE6FF9">
        <w:rPr>
          <w:b/>
          <w:szCs w:val="24"/>
          <w:lang w:val="hr-HR"/>
        </w:rPr>
        <w:t>Šifra 6</w:t>
      </w:r>
      <w:r w:rsidR="007677FE">
        <w:rPr>
          <w:b/>
          <w:szCs w:val="24"/>
          <w:lang w:val="hr-HR"/>
        </w:rPr>
        <w:t>32</w:t>
      </w:r>
      <w:r w:rsidRPr="00FE6FF9">
        <w:rPr>
          <w:b/>
          <w:szCs w:val="24"/>
          <w:lang w:val="hr-HR"/>
        </w:rPr>
        <w:t xml:space="preserve"> </w:t>
      </w:r>
      <w:r w:rsidR="00BD23DA" w:rsidRPr="00FE6FF9">
        <w:rPr>
          <w:b/>
          <w:szCs w:val="24"/>
        </w:rPr>
        <w:t>–</w:t>
      </w:r>
      <w:r w:rsidR="00BD23DA" w:rsidRPr="00FE6FF9">
        <w:rPr>
          <w:bCs/>
          <w:szCs w:val="24"/>
        </w:rPr>
        <w:t xml:space="preserve"> </w:t>
      </w:r>
      <w:r w:rsidR="007677FE">
        <w:rPr>
          <w:bCs/>
          <w:szCs w:val="24"/>
        </w:rPr>
        <w:t>U</w:t>
      </w:r>
      <w:r w:rsidR="007677FE" w:rsidRPr="007677FE">
        <w:rPr>
          <w:bCs/>
          <w:szCs w:val="24"/>
        </w:rPr>
        <w:t xml:space="preserve"> proteklom </w:t>
      </w:r>
      <w:r w:rsidR="007677FE">
        <w:rPr>
          <w:bCs/>
          <w:szCs w:val="24"/>
        </w:rPr>
        <w:t>izvještajnom</w:t>
      </w:r>
      <w:r w:rsidR="007677FE" w:rsidRPr="007677FE">
        <w:rPr>
          <w:bCs/>
          <w:szCs w:val="24"/>
        </w:rPr>
        <w:t xml:space="preserve"> razdoblju Tekuće pomoći od međunarodnih organizacija ostvarene su u iznosu od 75.582</w:t>
      </w:r>
      <w:r w:rsidR="007677FE">
        <w:rPr>
          <w:bCs/>
          <w:szCs w:val="24"/>
        </w:rPr>
        <w:t>,00</w:t>
      </w:r>
      <w:r w:rsidR="007677FE" w:rsidRPr="007677FE">
        <w:rPr>
          <w:bCs/>
          <w:szCs w:val="24"/>
        </w:rPr>
        <w:t xml:space="preserve"> kun</w:t>
      </w:r>
      <w:r w:rsidR="007677FE">
        <w:rPr>
          <w:bCs/>
          <w:szCs w:val="24"/>
        </w:rPr>
        <w:t>e</w:t>
      </w:r>
      <w:r w:rsidR="007677FE" w:rsidRPr="007677FE">
        <w:rPr>
          <w:bCs/>
          <w:szCs w:val="24"/>
        </w:rPr>
        <w:t xml:space="preserve"> </w:t>
      </w:r>
      <w:r w:rsidR="007677FE">
        <w:rPr>
          <w:bCs/>
          <w:szCs w:val="24"/>
        </w:rPr>
        <w:t>a</w:t>
      </w:r>
      <w:r w:rsidR="007677FE" w:rsidRPr="007677FE">
        <w:rPr>
          <w:bCs/>
          <w:szCs w:val="24"/>
        </w:rPr>
        <w:t xml:space="preserve"> odnos</w:t>
      </w:r>
      <w:r w:rsidR="007677FE">
        <w:rPr>
          <w:bCs/>
          <w:szCs w:val="24"/>
        </w:rPr>
        <w:t>e se</w:t>
      </w:r>
      <w:r w:rsidR="007677FE" w:rsidRPr="007677FE">
        <w:rPr>
          <w:bCs/>
          <w:szCs w:val="24"/>
        </w:rPr>
        <w:t xml:space="preserve"> na neutrošena sredstva koja smo dobili kao partneri u EU projektima a bila su evidentirali kao obaveza za EU predujmove, a temeljem zakonski</w:t>
      </w:r>
      <w:r w:rsidR="00285A35">
        <w:rPr>
          <w:bCs/>
          <w:szCs w:val="24"/>
        </w:rPr>
        <w:t>h</w:t>
      </w:r>
      <w:r w:rsidR="007677FE" w:rsidRPr="007677FE">
        <w:rPr>
          <w:bCs/>
          <w:szCs w:val="24"/>
        </w:rPr>
        <w:t xml:space="preserve"> propisa</w:t>
      </w:r>
      <w:r w:rsidR="007677FE">
        <w:rPr>
          <w:bCs/>
          <w:szCs w:val="24"/>
        </w:rPr>
        <w:t xml:space="preserve"> trebali </w:t>
      </w:r>
      <w:r w:rsidR="007677FE" w:rsidRPr="007677FE">
        <w:rPr>
          <w:bCs/>
          <w:szCs w:val="24"/>
        </w:rPr>
        <w:t xml:space="preserve">smo ih evidentirati na prihode. </w:t>
      </w:r>
    </w:p>
    <w:p w:rsidR="00285A35" w:rsidRPr="00FE6FF9" w:rsidRDefault="00285A35" w:rsidP="00285A35">
      <w:pPr>
        <w:spacing w:before="120"/>
        <w:rPr>
          <w:szCs w:val="24"/>
        </w:rPr>
      </w:pPr>
      <w:r w:rsidRPr="00FE6FF9">
        <w:rPr>
          <w:b/>
          <w:szCs w:val="24"/>
          <w:lang w:val="hr-HR"/>
        </w:rPr>
        <w:t>Šifra 6</w:t>
      </w:r>
      <w:r>
        <w:rPr>
          <w:b/>
          <w:szCs w:val="24"/>
          <w:lang w:val="hr-HR"/>
        </w:rPr>
        <w:t>526</w:t>
      </w:r>
      <w:r w:rsidRPr="00FE6FF9">
        <w:rPr>
          <w:b/>
          <w:szCs w:val="24"/>
          <w:lang w:val="hr-HR"/>
        </w:rPr>
        <w:t xml:space="preserve"> </w:t>
      </w:r>
      <w:r w:rsidRPr="00FE6FF9">
        <w:rPr>
          <w:b/>
          <w:szCs w:val="24"/>
        </w:rPr>
        <w:t>–</w:t>
      </w:r>
      <w:r w:rsidRPr="00FE6FF9">
        <w:rPr>
          <w:bCs/>
          <w:szCs w:val="24"/>
        </w:rPr>
        <w:t xml:space="preserve"> </w:t>
      </w:r>
      <w:r>
        <w:rPr>
          <w:bCs/>
          <w:szCs w:val="24"/>
        </w:rPr>
        <w:t xml:space="preserve">Ostali nespomenuti prihodi ostvareni su od osiguravajućeg društva za naknadu štete (555,13 kn), od Hrvatske obrtničke komore (2.344,00 kn) za refundaciju putnih troškova za odlazak na Festival strukovnih zanimanja te od Centra za građanske inicijative Poreč za odlazak na sastanak </w:t>
      </w:r>
      <w:r w:rsidR="005E0666">
        <w:rPr>
          <w:bCs/>
          <w:szCs w:val="24"/>
        </w:rPr>
        <w:t xml:space="preserve">u Pazin </w:t>
      </w:r>
      <w:r>
        <w:rPr>
          <w:bCs/>
          <w:szCs w:val="24"/>
        </w:rPr>
        <w:t xml:space="preserve">za izradu Prave aplikacije. </w:t>
      </w:r>
    </w:p>
    <w:p w:rsidR="0092340F" w:rsidRPr="00FE6FF9" w:rsidRDefault="0092340F" w:rsidP="0092340F">
      <w:pPr>
        <w:spacing w:before="120"/>
        <w:rPr>
          <w:szCs w:val="24"/>
        </w:rPr>
      </w:pPr>
      <w:r w:rsidRPr="00FE6FF9">
        <w:rPr>
          <w:b/>
          <w:szCs w:val="24"/>
          <w:lang w:val="hr-HR"/>
        </w:rPr>
        <w:t xml:space="preserve">Šifra 66 </w:t>
      </w:r>
      <w:r w:rsidRPr="00FE6FF9">
        <w:rPr>
          <w:b/>
          <w:szCs w:val="24"/>
        </w:rPr>
        <w:t>–</w:t>
      </w:r>
      <w:r w:rsidRPr="00FE6FF9">
        <w:rPr>
          <w:bCs/>
          <w:szCs w:val="24"/>
        </w:rPr>
        <w:t xml:space="preserve"> Prihodi od prodaje proizvoda i robe te pruženih usluga smanjeni su u odnosu na prošlu godinu i to zbog smanjenog interesa za </w:t>
      </w:r>
      <w:r w:rsidRPr="00FE6FF9">
        <w:rPr>
          <w:szCs w:val="24"/>
        </w:rPr>
        <w:t>obrazovanje odraslih.</w:t>
      </w:r>
    </w:p>
    <w:p w:rsidR="003F6ADC" w:rsidRPr="00FE6FF9" w:rsidRDefault="00C2579A" w:rsidP="0071538C">
      <w:pPr>
        <w:pStyle w:val="Tijeloteksta2"/>
        <w:spacing w:before="120"/>
        <w:jc w:val="left"/>
        <w:rPr>
          <w:rFonts w:ascii="Times New Roman" w:hAnsi="Times New Roman"/>
          <w:bCs/>
          <w:sz w:val="24"/>
          <w:szCs w:val="24"/>
        </w:rPr>
      </w:pPr>
      <w:r w:rsidRPr="00FE6FF9">
        <w:rPr>
          <w:rFonts w:ascii="Times New Roman" w:hAnsi="Times New Roman"/>
          <w:b/>
          <w:sz w:val="24"/>
          <w:szCs w:val="24"/>
        </w:rPr>
        <w:t>Šifra 67</w:t>
      </w:r>
      <w:r w:rsidRPr="00FE6FF9">
        <w:rPr>
          <w:rFonts w:ascii="Times New Roman" w:hAnsi="Times New Roman"/>
          <w:b/>
          <w:szCs w:val="24"/>
        </w:rPr>
        <w:t xml:space="preserve"> </w:t>
      </w:r>
      <w:r w:rsidR="007E6101" w:rsidRPr="00FE6FF9">
        <w:rPr>
          <w:rFonts w:ascii="Times New Roman" w:hAnsi="Times New Roman"/>
          <w:b/>
          <w:sz w:val="24"/>
          <w:szCs w:val="24"/>
        </w:rPr>
        <w:t>–</w:t>
      </w:r>
      <w:r w:rsidR="007E6101" w:rsidRPr="00FE6FF9">
        <w:rPr>
          <w:rFonts w:ascii="Times New Roman" w:hAnsi="Times New Roman"/>
          <w:bCs/>
          <w:sz w:val="24"/>
          <w:szCs w:val="24"/>
        </w:rPr>
        <w:t xml:space="preserve"> </w:t>
      </w:r>
      <w:r w:rsidR="009532F6" w:rsidRPr="00FE6FF9">
        <w:rPr>
          <w:rFonts w:ascii="Times New Roman" w:hAnsi="Times New Roman"/>
          <w:bCs/>
          <w:sz w:val="24"/>
          <w:szCs w:val="24"/>
        </w:rPr>
        <w:t xml:space="preserve">Prihodi od Istarske županije </w:t>
      </w:r>
      <w:r w:rsidR="003B6199" w:rsidRPr="00FE6FF9">
        <w:rPr>
          <w:rFonts w:ascii="Times New Roman" w:hAnsi="Times New Roman"/>
          <w:bCs/>
          <w:sz w:val="24"/>
          <w:szCs w:val="24"/>
        </w:rPr>
        <w:t>povećani</w:t>
      </w:r>
      <w:r w:rsidR="009532F6" w:rsidRPr="00FE6FF9">
        <w:rPr>
          <w:rFonts w:ascii="Times New Roman" w:hAnsi="Times New Roman"/>
          <w:bCs/>
          <w:sz w:val="24"/>
          <w:szCs w:val="24"/>
        </w:rPr>
        <w:t xml:space="preserve"> su</w:t>
      </w:r>
      <w:r w:rsidR="007E6101" w:rsidRPr="00FE6FF9">
        <w:rPr>
          <w:rFonts w:ascii="Times New Roman" w:hAnsi="Times New Roman"/>
          <w:sz w:val="24"/>
          <w:szCs w:val="24"/>
        </w:rPr>
        <w:t xml:space="preserve"> </w:t>
      </w:r>
      <w:r w:rsidR="009532F6" w:rsidRPr="00FE6FF9">
        <w:rPr>
          <w:rFonts w:ascii="Times New Roman" w:hAnsi="Times New Roman"/>
          <w:sz w:val="24"/>
          <w:szCs w:val="24"/>
        </w:rPr>
        <w:t>za</w:t>
      </w:r>
      <w:r w:rsidR="003B6199" w:rsidRPr="00FE6FF9">
        <w:rPr>
          <w:rFonts w:ascii="Times New Roman" w:hAnsi="Times New Roman"/>
          <w:sz w:val="24"/>
          <w:szCs w:val="24"/>
        </w:rPr>
        <w:t xml:space="preserve"> </w:t>
      </w:r>
      <w:r w:rsidR="005E0666">
        <w:rPr>
          <w:rFonts w:ascii="Times New Roman" w:hAnsi="Times New Roman"/>
          <w:sz w:val="24"/>
          <w:szCs w:val="24"/>
        </w:rPr>
        <w:t>17</w:t>
      </w:r>
      <w:r w:rsidR="003B6199" w:rsidRPr="00FE6FF9">
        <w:rPr>
          <w:rFonts w:ascii="Times New Roman" w:hAnsi="Times New Roman"/>
          <w:sz w:val="24"/>
          <w:szCs w:val="24"/>
        </w:rPr>
        <w:t>,</w:t>
      </w:r>
      <w:r w:rsidR="005E0666">
        <w:rPr>
          <w:rFonts w:ascii="Times New Roman" w:hAnsi="Times New Roman"/>
          <w:sz w:val="24"/>
          <w:szCs w:val="24"/>
        </w:rPr>
        <w:t>1</w:t>
      </w:r>
      <w:r w:rsidR="003B6199" w:rsidRPr="00FE6FF9">
        <w:rPr>
          <w:rFonts w:ascii="Times New Roman" w:hAnsi="Times New Roman"/>
          <w:sz w:val="24"/>
          <w:szCs w:val="24"/>
        </w:rPr>
        <w:t>% zbog toga š</w:t>
      </w:r>
      <w:r w:rsidR="009532F6" w:rsidRPr="00FE6FF9">
        <w:rPr>
          <w:rFonts w:ascii="Times New Roman" w:hAnsi="Times New Roman"/>
          <w:sz w:val="24"/>
          <w:szCs w:val="24"/>
        </w:rPr>
        <w:t xml:space="preserve">to </w:t>
      </w:r>
      <w:r w:rsidR="003B6199" w:rsidRPr="00FE6FF9">
        <w:rPr>
          <w:rFonts w:ascii="Times New Roman" w:hAnsi="Times New Roman"/>
          <w:sz w:val="24"/>
          <w:szCs w:val="24"/>
        </w:rPr>
        <w:t>ni</w:t>
      </w:r>
      <w:r w:rsidR="009532F6" w:rsidRPr="00FE6FF9">
        <w:rPr>
          <w:rFonts w:ascii="Times New Roman" w:hAnsi="Times New Roman"/>
          <w:sz w:val="24"/>
          <w:szCs w:val="24"/>
        </w:rPr>
        <w:t xml:space="preserve">je </w:t>
      </w:r>
      <w:r w:rsidR="003B6199" w:rsidRPr="00FE6FF9">
        <w:rPr>
          <w:rFonts w:ascii="Times New Roman" w:hAnsi="Times New Roman"/>
          <w:sz w:val="24"/>
          <w:szCs w:val="24"/>
        </w:rPr>
        <w:t>bilo online nastave pa su znatno povećani troškovi za energente, prijevoz djelatnicima na posao i s posla te za redovno poslovanje škole. Također, I</w:t>
      </w:r>
      <w:r w:rsidRPr="00FE6FF9">
        <w:rPr>
          <w:rFonts w:ascii="Times New Roman" w:hAnsi="Times New Roman"/>
          <w:sz w:val="24"/>
          <w:szCs w:val="24"/>
        </w:rPr>
        <w:t>starska županija</w:t>
      </w:r>
      <w:r w:rsidR="003B6199" w:rsidRPr="00FE6FF9">
        <w:rPr>
          <w:rFonts w:ascii="Times New Roman" w:hAnsi="Times New Roman"/>
          <w:sz w:val="24"/>
          <w:szCs w:val="24"/>
        </w:rPr>
        <w:t xml:space="preserve"> nam je doznačila </w:t>
      </w:r>
      <w:r w:rsidR="007207B8" w:rsidRPr="00FE6FF9">
        <w:rPr>
          <w:rFonts w:ascii="Times New Roman" w:hAnsi="Times New Roman"/>
          <w:sz w:val="24"/>
          <w:szCs w:val="24"/>
        </w:rPr>
        <w:t xml:space="preserve">sredstava </w:t>
      </w:r>
      <w:r w:rsidR="003B6199" w:rsidRPr="00FE6FF9">
        <w:rPr>
          <w:rFonts w:ascii="Times New Roman" w:hAnsi="Times New Roman"/>
          <w:sz w:val="24"/>
          <w:szCs w:val="24"/>
        </w:rPr>
        <w:t>temeljem dvije aktivnosti, za Zavičajnu nasta</w:t>
      </w:r>
      <w:r w:rsidR="005E0666">
        <w:rPr>
          <w:rFonts w:ascii="Times New Roman" w:hAnsi="Times New Roman"/>
          <w:sz w:val="24"/>
          <w:szCs w:val="24"/>
        </w:rPr>
        <w:t>vu i Provedbu projekta MOZAIK 4 te za nabavu školskih stolica i knjiga.</w:t>
      </w:r>
    </w:p>
    <w:p w:rsidR="00EF1579" w:rsidRPr="00FE6FF9" w:rsidRDefault="00C2579A" w:rsidP="009532F6">
      <w:pPr>
        <w:pStyle w:val="Tijeloteksta2"/>
        <w:spacing w:before="120"/>
        <w:jc w:val="left"/>
        <w:rPr>
          <w:rFonts w:ascii="Times New Roman" w:hAnsi="Times New Roman"/>
          <w:bCs/>
          <w:sz w:val="24"/>
          <w:szCs w:val="24"/>
        </w:rPr>
      </w:pPr>
      <w:r w:rsidRPr="00FE6FF9">
        <w:rPr>
          <w:rFonts w:ascii="Times New Roman" w:hAnsi="Times New Roman"/>
          <w:b/>
          <w:sz w:val="24"/>
          <w:szCs w:val="24"/>
        </w:rPr>
        <w:t>Šifra 312</w:t>
      </w:r>
      <w:r w:rsidRPr="00FE6FF9">
        <w:rPr>
          <w:rFonts w:ascii="Times New Roman" w:hAnsi="Times New Roman"/>
          <w:b/>
          <w:szCs w:val="24"/>
        </w:rPr>
        <w:t xml:space="preserve"> </w:t>
      </w:r>
      <w:r w:rsidR="009532F6" w:rsidRPr="00FE6FF9">
        <w:rPr>
          <w:rFonts w:ascii="Times New Roman" w:hAnsi="Times New Roman"/>
          <w:b/>
          <w:sz w:val="24"/>
          <w:szCs w:val="24"/>
        </w:rPr>
        <w:t>–</w:t>
      </w:r>
      <w:r w:rsidR="009532F6" w:rsidRPr="00FE6FF9">
        <w:rPr>
          <w:rFonts w:ascii="Times New Roman" w:hAnsi="Times New Roman"/>
          <w:bCs/>
          <w:sz w:val="24"/>
          <w:szCs w:val="24"/>
        </w:rPr>
        <w:t xml:space="preserve"> </w:t>
      </w:r>
      <w:r w:rsidRPr="00FE6FF9">
        <w:rPr>
          <w:rFonts w:ascii="Times New Roman" w:hAnsi="Times New Roman"/>
          <w:bCs/>
          <w:sz w:val="24"/>
          <w:szCs w:val="24"/>
        </w:rPr>
        <w:t xml:space="preserve">Ostali rashodi za zaposlene smanjeni su za </w:t>
      </w:r>
      <w:r w:rsidR="0069053B">
        <w:rPr>
          <w:rFonts w:ascii="Times New Roman" w:hAnsi="Times New Roman"/>
          <w:bCs/>
          <w:sz w:val="24"/>
          <w:szCs w:val="24"/>
        </w:rPr>
        <w:t>2</w:t>
      </w:r>
      <w:r w:rsidRPr="00FE6FF9">
        <w:rPr>
          <w:rFonts w:ascii="Times New Roman" w:hAnsi="Times New Roman"/>
          <w:bCs/>
          <w:sz w:val="24"/>
          <w:szCs w:val="24"/>
        </w:rPr>
        <w:t>7</w:t>
      </w:r>
      <w:r w:rsidR="00297F8D">
        <w:rPr>
          <w:rFonts w:ascii="Times New Roman" w:hAnsi="Times New Roman"/>
          <w:bCs/>
          <w:sz w:val="24"/>
          <w:szCs w:val="24"/>
        </w:rPr>
        <w:t>,</w:t>
      </w:r>
      <w:r w:rsidR="0069053B">
        <w:rPr>
          <w:rFonts w:ascii="Times New Roman" w:hAnsi="Times New Roman"/>
          <w:bCs/>
          <w:sz w:val="24"/>
          <w:szCs w:val="24"/>
        </w:rPr>
        <w:t>4</w:t>
      </w:r>
      <w:r w:rsidRPr="00FE6FF9">
        <w:rPr>
          <w:rFonts w:ascii="Times New Roman" w:hAnsi="Times New Roman"/>
          <w:bCs/>
          <w:sz w:val="24"/>
          <w:szCs w:val="24"/>
        </w:rPr>
        <w:t xml:space="preserve">% zato što se u ovom razdoblju djelatnicima isplatilo manje sredstava na ime jubilarnih nagrada, pomoći za bolest i smrtni slučaj te potpore. </w:t>
      </w:r>
    </w:p>
    <w:p w:rsidR="00C2579A" w:rsidRPr="00FE6FF9" w:rsidRDefault="00C2579A" w:rsidP="00C2579A">
      <w:pPr>
        <w:pStyle w:val="Tijeloteksta2"/>
        <w:spacing w:before="120"/>
        <w:jc w:val="left"/>
        <w:rPr>
          <w:rFonts w:ascii="Times New Roman" w:hAnsi="Times New Roman"/>
          <w:bCs/>
          <w:sz w:val="24"/>
          <w:szCs w:val="24"/>
        </w:rPr>
      </w:pPr>
      <w:r w:rsidRPr="00FE6FF9">
        <w:rPr>
          <w:rFonts w:ascii="Times New Roman" w:hAnsi="Times New Roman"/>
          <w:b/>
          <w:sz w:val="24"/>
          <w:szCs w:val="24"/>
        </w:rPr>
        <w:t>Šifra 32</w:t>
      </w:r>
      <w:r w:rsidR="00BC3490" w:rsidRPr="00FE6FF9">
        <w:rPr>
          <w:rFonts w:ascii="Times New Roman" w:hAnsi="Times New Roman"/>
          <w:b/>
          <w:sz w:val="24"/>
          <w:szCs w:val="24"/>
        </w:rPr>
        <w:t>11</w:t>
      </w:r>
      <w:r w:rsidRPr="00FE6FF9">
        <w:rPr>
          <w:rFonts w:ascii="Times New Roman" w:hAnsi="Times New Roman"/>
          <w:b/>
          <w:szCs w:val="24"/>
        </w:rPr>
        <w:t xml:space="preserve"> </w:t>
      </w:r>
      <w:r w:rsidRPr="00FE6FF9">
        <w:rPr>
          <w:rFonts w:ascii="Times New Roman" w:hAnsi="Times New Roman"/>
          <w:b/>
          <w:sz w:val="24"/>
          <w:szCs w:val="24"/>
        </w:rPr>
        <w:t>–</w:t>
      </w:r>
      <w:r w:rsidRPr="00FE6FF9">
        <w:rPr>
          <w:rFonts w:ascii="Times New Roman" w:hAnsi="Times New Roman"/>
          <w:bCs/>
          <w:sz w:val="24"/>
          <w:szCs w:val="24"/>
        </w:rPr>
        <w:t xml:space="preserve"> Službena putovanja višestruko su povećana jer se u proteklom razdoblju zbog </w:t>
      </w:r>
      <w:r w:rsidR="00BC3490" w:rsidRPr="00FE6FF9">
        <w:rPr>
          <w:rFonts w:ascii="Times New Roman" w:hAnsi="Times New Roman"/>
          <w:bCs/>
          <w:sz w:val="24"/>
          <w:szCs w:val="24"/>
        </w:rPr>
        <w:t>pandemije</w:t>
      </w:r>
      <w:r w:rsidRPr="00FE6FF9">
        <w:rPr>
          <w:rFonts w:ascii="Times New Roman" w:hAnsi="Times New Roman"/>
          <w:bCs/>
          <w:sz w:val="24"/>
          <w:szCs w:val="24"/>
        </w:rPr>
        <w:t xml:space="preserve"> nije odlazilo na službena putovanja a ove godine smo sudjelovali na državnom natjecanju te se putovalo u sklopu EU projekta RCK Zadar.</w:t>
      </w:r>
    </w:p>
    <w:p w:rsidR="00BC3490" w:rsidRPr="00FE6FF9" w:rsidRDefault="00BC3490" w:rsidP="0071538C">
      <w:pPr>
        <w:spacing w:before="120"/>
        <w:rPr>
          <w:bCs/>
          <w:szCs w:val="24"/>
          <w:lang w:val="hr-HR"/>
        </w:rPr>
      </w:pPr>
      <w:r w:rsidRPr="00FE6FF9">
        <w:rPr>
          <w:b/>
          <w:szCs w:val="24"/>
        </w:rPr>
        <w:lastRenderedPageBreak/>
        <w:t>Šifra 3212 –</w:t>
      </w:r>
      <w:r w:rsidRPr="00FE6FF9">
        <w:rPr>
          <w:bCs/>
          <w:szCs w:val="24"/>
        </w:rPr>
        <w:t xml:space="preserve"> Naknada za prijevoz povećana je za </w:t>
      </w:r>
      <w:r w:rsidR="00297F8D">
        <w:rPr>
          <w:bCs/>
          <w:szCs w:val="24"/>
        </w:rPr>
        <w:t>51</w:t>
      </w:r>
      <w:r w:rsidRPr="00FE6FF9">
        <w:rPr>
          <w:bCs/>
          <w:szCs w:val="24"/>
        </w:rPr>
        <w:t>,</w:t>
      </w:r>
      <w:r w:rsidR="00297F8D">
        <w:rPr>
          <w:bCs/>
          <w:szCs w:val="24"/>
        </w:rPr>
        <w:t>0</w:t>
      </w:r>
      <w:r w:rsidRPr="00FE6FF9">
        <w:rPr>
          <w:bCs/>
          <w:szCs w:val="24"/>
        </w:rPr>
        <w:t>% budući da se nastava cijelo vrijeme održavala u školi pa samim time nije bilo potrebe za rad od kuće.</w:t>
      </w:r>
    </w:p>
    <w:p w:rsidR="00297F8D" w:rsidRPr="00FE6FF9" w:rsidRDefault="00297F8D" w:rsidP="00297F8D">
      <w:pPr>
        <w:pStyle w:val="Tijeloteksta2"/>
        <w:spacing w:before="120"/>
        <w:jc w:val="left"/>
        <w:rPr>
          <w:rFonts w:ascii="Times New Roman" w:hAnsi="Times New Roman"/>
          <w:bCs/>
          <w:sz w:val="24"/>
          <w:szCs w:val="24"/>
        </w:rPr>
      </w:pPr>
      <w:r w:rsidRPr="00FE6FF9">
        <w:rPr>
          <w:rFonts w:ascii="Times New Roman" w:hAnsi="Times New Roman"/>
          <w:b/>
          <w:sz w:val="24"/>
          <w:szCs w:val="24"/>
        </w:rPr>
        <w:t>Šifra 321</w:t>
      </w:r>
      <w:r>
        <w:rPr>
          <w:rFonts w:ascii="Times New Roman" w:hAnsi="Times New Roman"/>
          <w:b/>
          <w:sz w:val="24"/>
          <w:szCs w:val="24"/>
        </w:rPr>
        <w:t>3</w:t>
      </w:r>
      <w:r w:rsidRPr="00FE6FF9">
        <w:rPr>
          <w:rFonts w:ascii="Times New Roman" w:hAnsi="Times New Roman"/>
          <w:b/>
          <w:szCs w:val="24"/>
        </w:rPr>
        <w:t xml:space="preserve"> </w:t>
      </w:r>
      <w:r w:rsidRPr="00FE6FF9">
        <w:rPr>
          <w:rFonts w:ascii="Times New Roman" w:hAnsi="Times New Roman"/>
          <w:b/>
          <w:sz w:val="24"/>
          <w:szCs w:val="24"/>
        </w:rPr>
        <w:t>–</w:t>
      </w:r>
      <w:r w:rsidRPr="00FE6FF9">
        <w:rPr>
          <w:rFonts w:ascii="Times New Roman" w:hAnsi="Times New Roman"/>
          <w:bCs/>
          <w:sz w:val="24"/>
          <w:szCs w:val="24"/>
        </w:rPr>
        <w:t xml:space="preserve"> </w:t>
      </w:r>
      <w:r>
        <w:rPr>
          <w:rFonts w:ascii="Times New Roman" w:hAnsi="Times New Roman"/>
          <w:bCs/>
          <w:sz w:val="24"/>
          <w:szCs w:val="24"/>
        </w:rPr>
        <w:t>Budući da su odlasci na s</w:t>
      </w:r>
      <w:r w:rsidRPr="00FE6FF9">
        <w:rPr>
          <w:rFonts w:ascii="Times New Roman" w:hAnsi="Times New Roman"/>
          <w:bCs/>
          <w:sz w:val="24"/>
          <w:szCs w:val="24"/>
        </w:rPr>
        <w:t xml:space="preserve">lužbena putovanja povećana </w:t>
      </w:r>
      <w:r>
        <w:rPr>
          <w:rFonts w:ascii="Times New Roman" w:hAnsi="Times New Roman"/>
          <w:bCs/>
          <w:sz w:val="24"/>
          <w:szCs w:val="24"/>
        </w:rPr>
        <w:t>samim time više je utrošeno i za naknade za sudjelovanje na seminarima.</w:t>
      </w:r>
    </w:p>
    <w:p w:rsidR="002972BC" w:rsidRPr="00FE6FF9" w:rsidRDefault="00BC3490" w:rsidP="0071538C">
      <w:pPr>
        <w:spacing w:before="120"/>
        <w:rPr>
          <w:bCs/>
          <w:szCs w:val="24"/>
          <w:lang w:val="hr-HR"/>
        </w:rPr>
      </w:pPr>
      <w:r w:rsidRPr="00FE6FF9">
        <w:rPr>
          <w:b/>
          <w:szCs w:val="24"/>
        </w:rPr>
        <w:t>Šifra 3214</w:t>
      </w:r>
      <w:r w:rsidR="007058EF" w:rsidRPr="00FE6FF9">
        <w:rPr>
          <w:b/>
          <w:szCs w:val="24"/>
          <w:lang w:val="hr-HR"/>
        </w:rPr>
        <w:t xml:space="preserve"> </w:t>
      </w:r>
      <w:r w:rsidR="007058EF" w:rsidRPr="00FE6FF9">
        <w:rPr>
          <w:bCs/>
          <w:szCs w:val="24"/>
          <w:lang w:val="hr-HR"/>
        </w:rPr>
        <w:t>–</w:t>
      </w:r>
      <w:r w:rsidRPr="00FE6FF9">
        <w:rPr>
          <w:bCs/>
          <w:szCs w:val="24"/>
          <w:lang w:val="hr-HR"/>
        </w:rPr>
        <w:t xml:space="preserve"> Ostale naknade troškova zaposlenima odnose se za korištenje osobnog automobila u poslovne svrhe tzv. "loko" vožnju.  Navedeni troškovi povećani su za 308,3</w:t>
      </w:r>
      <w:r w:rsidR="002972BC" w:rsidRPr="00FE6FF9">
        <w:rPr>
          <w:bCs/>
          <w:szCs w:val="24"/>
          <w:lang w:val="hr-HR"/>
        </w:rPr>
        <w:t>% budući da se zbog povećanog održavanja praktične nastave u školi često odlazilo u trgovinu za nabavu materijala za vježbe učenika.</w:t>
      </w:r>
    </w:p>
    <w:p w:rsidR="00297F8D" w:rsidRPr="00FE6FF9" w:rsidRDefault="00297F8D" w:rsidP="00297F8D">
      <w:pPr>
        <w:spacing w:before="120"/>
        <w:rPr>
          <w:bCs/>
          <w:szCs w:val="24"/>
          <w:lang w:val="hr-HR"/>
        </w:rPr>
      </w:pPr>
      <w:r w:rsidRPr="00FE6FF9">
        <w:rPr>
          <w:b/>
          <w:szCs w:val="24"/>
        </w:rPr>
        <w:t>Šifra 322</w:t>
      </w:r>
      <w:r>
        <w:rPr>
          <w:b/>
          <w:szCs w:val="24"/>
        </w:rPr>
        <w:t>5</w:t>
      </w:r>
      <w:r w:rsidRPr="00FE6FF9">
        <w:rPr>
          <w:b/>
          <w:szCs w:val="24"/>
        </w:rPr>
        <w:t xml:space="preserve"> </w:t>
      </w:r>
      <w:r w:rsidRPr="00FE6FF9">
        <w:rPr>
          <w:bCs/>
          <w:szCs w:val="24"/>
          <w:lang w:val="hr-HR"/>
        </w:rPr>
        <w:t>– U ovoj godini troškovi za S</w:t>
      </w:r>
      <w:r>
        <w:rPr>
          <w:bCs/>
          <w:szCs w:val="24"/>
          <w:lang w:val="hr-HR"/>
        </w:rPr>
        <w:t xml:space="preserve">itan inventar </w:t>
      </w:r>
      <w:r w:rsidRPr="00FE6FF9">
        <w:rPr>
          <w:bCs/>
          <w:szCs w:val="24"/>
          <w:lang w:val="hr-HR"/>
        </w:rPr>
        <w:t xml:space="preserve">smanjeni su </w:t>
      </w:r>
      <w:r>
        <w:rPr>
          <w:bCs/>
          <w:szCs w:val="24"/>
          <w:lang w:val="hr-HR"/>
        </w:rPr>
        <w:t>za 51</w:t>
      </w:r>
      <w:r w:rsidRPr="00FE6FF9">
        <w:rPr>
          <w:bCs/>
          <w:szCs w:val="24"/>
          <w:lang w:val="hr-HR"/>
        </w:rPr>
        <w:t>,</w:t>
      </w:r>
      <w:r>
        <w:rPr>
          <w:bCs/>
          <w:szCs w:val="24"/>
          <w:lang w:val="hr-HR"/>
        </w:rPr>
        <w:t>6</w:t>
      </w:r>
      <w:r w:rsidRPr="00FE6FF9">
        <w:rPr>
          <w:bCs/>
          <w:szCs w:val="24"/>
          <w:lang w:val="hr-HR"/>
        </w:rPr>
        <w:t>% budući da s</w:t>
      </w:r>
      <w:r>
        <w:rPr>
          <w:bCs/>
          <w:szCs w:val="24"/>
          <w:lang w:val="hr-HR"/>
        </w:rPr>
        <w:t>e planiralo nabaviti ga preko EU projekta u postupku javne nabave ali to nije bilo realizirano do kraja ovog izvještajnog</w:t>
      </w:r>
      <w:r w:rsidRPr="00FE6FF9">
        <w:rPr>
          <w:bCs/>
          <w:szCs w:val="24"/>
          <w:lang w:val="hr-HR"/>
        </w:rPr>
        <w:t xml:space="preserve"> razdoblj</w:t>
      </w:r>
      <w:r>
        <w:rPr>
          <w:bCs/>
          <w:szCs w:val="24"/>
          <w:lang w:val="hr-HR"/>
        </w:rPr>
        <w:t>a.</w:t>
      </w:r>
    </w:p>
    <w:p w:rsidR="002972BC" w:rsidRPr="00FE6FF9" w:rsidRDefault="002972BC" w:rsidP="0071538C">
      <w:pPr>
        <w:spacing w:before="120"/>
        <w:rPr>
          <w:bCs/>
          <w:szCs w:val="24"/>
          <w:lang w:val="hr-HR"/>
        </w:rPr>
      </w:pPr>
      <w:r w:rsidRPr="00FE6FF9">
        <w:rPr>
          <w:b/>
          <w:szCs w:val="24"/>
        </w:rPr>
        <w:t xml:space="preserve">Šifra 3227 </w:t>
      </w:r>
      <w:r w:rsidRPr="00FE6FF9">
        <w:rPr>
          <w:bCs/>
          <w:szCs w:val="24"/>
          <w:lang w:val="hr-HR"/>
        </w:rPr>
        <w:t xml:space="preserve">– U ovoj godini troškovi za Službenu, radnu i zaštitnu odjeću i obuću smanjeni su </w:t>
      </w:r>
      <w:r w:rsidR="00297F8D">
        <w:rPr>
          <w:bCs/>
          <w:szCs w:val="24"/>
          <w:lang w:val="hr-HR"/>
        </w:rPr>
        <w:t>64,6</w:t>
      </w:r>
      <w:r w:rsidRPr="00FE6FF9">
        <w:rPr>
          <w:bCs/>
          <w:szCs w:val="24"/>
          <w:lang w:val="hr-HR"/>
        </w:rPr>
        <w:t>% budući da su u proteklom obračunskom razdoblju nabavljene kute za spremačice koje će im trajati par godina.</w:t>
      </w:r>
    </w:p>
    <w:p w:rsidR="009E080E" w:rsidRDefault="00AE7AE1" w:rsidP="00760FCF">
      <w:pPr>
        <w:pStyle w:val="Tijeloteksta3"/>
        <w:spacing w:before="120"/>
        <w:jc w:val="left"/>
        <w:rPr>
          <w:rFonts w:ascii="Times New Roman" w:hAnsi="Times New Roman"/>
          <w:sz w:val="24"/>
          <w:szCs w:val="24"/>
        </w:rPr>
      </w:pPr>
      <w:r w:rsidRPr="00FE6FF9">
        <w:rPr>
          <w:rFonts w:ascii="Times New Roman" w:hAnsi="Times New Roman"/>
          <w:b/>
          <w:sz w:val="24"/>
          <w:szCs w:val="24"/>
        </w:rPr>
        <w:t>Šifra 323</w:t>
      </w:r>
      <w:r w:rsidR="009E080E">
        <w:rPr>
          <w:rFonts w:ascii="Times New Roman" w:hAnsi="Times New Roman"/>
          <w:b/>
          <w:sz w:val="24"/>
          <w:szCs w:val="24"/>
        </w:rPr>
        <w:t>2</w:t>
      </w:r>
      <w:r w:rsidRPr="00FE6FF9">
        <w:rPr>
          <w:rFonts w:ascii="Times New Roman" w:hAnsi="Times New Roman"/>
          <w:b/>
          <w:szCs w:val="24"/>
        </w:rPr>
        <w:t xml:space="preserve"> </w:t>
      </w:r>
      <w:r w:rsidR="00BC40E4" w:rsidRPr="00FE6FF9">
        <w:rPr>
          <w:rFonts w:ascii="Times New Roman" w:hAnsi="Times New Roman"/>
          <w:sz w:val="24"/>
          <w:szCs w:val="24"/>
        </w:rPr>
        <w:t xml:space="preserve">– </w:t>
      </w:r>
      <w:r w:rsidR="00767B8C" w:rsidRPr="00FE6FF9">
        <w:rPr>
          <w:rFonts w:ascii="Times New Roman" w:hAnsi="Times New Roman"/>
          <w:sz w:val="24"/>
          <w:szCs w:val="24"/>
        </w:rPr>
        <w:t>Rashodi za</w:t>
      </w:r>
      <w:r w:rsidR="009E080E">
        <w:rPr>
          <w:rFonts w:ascii="Times New Roman" w:hAnsi="Times New Roman"/>
          <w:sz w:val="24"/>
          <w:szCs w:val="24"/>
        </w:rPr>
        <w:t xml:space="preserve"> Usluge tekućeg i investicionog održavanja </w:t>
      </w:r>
      <w:r w:rsidR="00767B8C" w:rsidRPr="00FE6FF9">
        <w:rPr>
          <w:rFonts w:ascii="Times New Roman" w:hAnsi="Times New Roman"/>
          <w:sz w:val="24"/>
          <w:szCs w:val="24"/>
        </w:rPr>
        <w:t xml:space="preserve"> us</w:t>
      </w:r>
      <w:r w:rsidR="00E26750" w:rsidRPr="00FE6FF9">
        <w:rPr>
          <w:rFonts w:ascii="Times New Roman" w:hAnsi="Times New Roman"/>
          <w:sz w:val="24"/>
          <w:szCs w:val="24"/>
        </w:rPr>
        <w:t>l</w:t>
      </w:r>
      <w:r w:rsidR="00767B8C" w:rsidRPr="00FE6FF9">
        <w:rPr>
          <w:rFonts w:ascii="Times New Roman" w:hAnsi="Times New Roman"/>
          <w:sz w:val="24"/>
          <w:szCs w:val="24"/>
        </w:rPr>
        <w:t>uge</w:t>
      </w:r>
      <w:r w:rsidRPr="00FE6FF9">
        <w:rPr>
          <w:rFonts w:ascii="Times New Roman" w:hAnsi="Times New Roman"/>
          <w:sz w:val="24"/>
          <w:szCs w:val="24"/>
        </w:rPr>
        <w:t xml:space="preserve"> povećani</w:t>
      </w:r>
      <w:r w:rsidR="009E080E">
        <w:rPr>
          <w:rFonts w:ascii="Times New Roman" w:hAnsi="Times New Roman"/>
          <w:sz w:val="24"/>
          <w:szCs w:val="24"/>
        </w:rPr>
        <w:t xml:space="preserve"> su </w:t>
      </w:r>
      <w:r w:rsidRPr="00FE6FF9">
        <w:rPr>
          <w:rFonts w:ascii="Times New Roman" w:hAnsi="Times New Roman"/>
          <w:sz w:val="24"/>
          <w:szCs w:val="24"/>
        </w:rPr>
        <w:t>za</w:t>
      </w:r>
      <w:r w:rsidR="00297F8D">
        <w:rPr>
          <w:rFonts w:ascii="Times New Roman" w:hAnsi="Times New Roman"/>
          <w:sz w:val="24"/>
          <w:szCs w:val="24"/>
        </w:rPr>
        <w:t xml:space="preserve"> </w:t>
      </w:r>
      <w:r w:rsidR="009E080E">
        <w:rPr>
          <w:rFonts w:ascii="Times New Roman" w:hAnsi="Times New Roman"/>
          <w:sz w:val="24"/>
          <w:szCs w:val="24"/>
        </w:rPr>
        <w:t>59,9</w:t>
      </w:r>
      <w:r w:rsidRPr="00FE6FF9">
        <w:rPr>
          <w:rFonts w:ascii="Times New Roman" w:hAnsi="Times New Roman"/>
          <w:sz w:val="24"/>
          <w:szCs w:val="24"/>
        </w:rPr>
        <w:t xml:space="preserve">% zato što </w:t>
      </w:r>
      <w:r w:rsidR="009E080E">
        <w:rPr>
          <w:rFonts w:ascii="Times New Roman" w:hAnsi="Times New Roman"/>
          <w:sz w:val="24"/>
          <w:szCs w:val="24"/>
        </w:rPr>
        <w:t xml:space="preserve">su se povećale cijene obaveznih i izvanrednih servisa i održavanja opreme te se </w:t>
      </w:r>
      <w:r w:rsidRPr="00FE6FF9">
        <w:rPr>
          <w:rFonts w:ascii="Times New Roman" w:hAnsi="Times New Roman"/>
          <w:sz w:val="24"/>
          <w:szCs w:val="24"/>
        </w:rPr>
        <w:t>uređivao okoliš škole</w:t>
      </w:r>
      <w:r w:rsidR="009E080E">
        <w:rPr>
          <w:rFonts w:ascii="Times New Roman" w:hAnsi="Times New Roman"/>
          <w:sz w:val="24"/>
          <w:szCs w:val="24"/>
        </w:rPr>
        <w:t>.</w:t>
      </w:r>
    </w:p>
    <w:p w:rsidR="009E080E" w:rsidRDefault="009E080E" w:rsidP="00760FCF">
      <w:pPr>
        <w:pStyle w:val="Tijeloteksta3"/>
        <w:spacing w:before="120"/>
        <w:jc w:val="left"/>
        <w:rPr>
          <w:rFonts w:ascii="Times New Roman" w:hAnsi="Times New Roman"/>
          <w:sz w:val="24"/>
          <w:szCs w:val="24"/>
        </w:rPr>
      </w:pPr>
      <w:r w:rsidRPr="00FE6FF9">
        <w:rPr>
          <w:rFonts w:ascii="Times New Roman" w:hAnsi="Times New Roman"/>
          <w:b/>
          <w:sz w:val="24"/>
          <w:szCs w:val="24"/>
        </w:rPr>
        <w:t>Šifra 323</w:t>
      </w:r>
      <w:r>
        <w:rPr>
          <w:rFonts w:ascii="Times New Roman" w:hAnsi="Times New Roman"/>
          <w:b/>
          <w:sz w:val="24"/>
          <w:szCs w:val="24"/>
        </w:rPr>
        <w:t>4</w:t>
      </w:r>
      <w:r w:rsidRPr="00FE6FF9">
        <w:rPr>
          <w:rFonts w:ascii="Times New Roman" w:hAnsi="Times New Roman"/>
          <w:b/>
          <w:szCs w:val="24"/>
        </w:rPr>
        <w:t xml:space="preserve"> </w:t>
      </w:r>
      <w:r w:rsidRPr="00FE6FF9">
        <w:rPr>
          <w:rFonts w:ascii="Times New Roman" w:hAnsi="Times New Roman"/>
          <w:sz w:val="24"/>
          <w:szCs w:val="24"/>
        </w:rPr>
        <w:t>– Rashodi za</w:t>
      </w:r>
      <w:r>
        <w:rPr>
          <w:rFonts w:ascii="Times New Roman" w:hAnsi="Times New Roman"/>
          <w:sz w:val="24"/>
          <w:szCs w:val="24"/>
        </w:rPr>
        <w:t xml:space="preserve"> Komunalne usluge</w:t>
      </w:r>
      <w:r w:rsidRPr="00FE6FF9">
        <w:rPr>
          <w:rFonts w:ascii="Times New Roman" w:hAnsi="Times New Roman"/>
          <w:sz w:val="24"/>
          <w:szCs w:val="24"/>
        </w:rPr>
        <w:t xml:space="preserve"> povećan</w:t>
      </w:r>
      <w:r>
        <w:rPr>
          <w:rFonts w:ascii="Times New Roman" w:hAnsi="Times New Roman"/>
          <w:sz w:val="24"/>
          <w:szCs w:val="24"/>
        </w:rPr>
        <w:t xml:space="preserve">e su </w:t>
      </w:r>
      <w:r w:rsidRPr="00FE6FF9">
        <w:rPr>
          <w:rFonts w:ascii="Times New Roman" w:hAnsi="Times New Roman"/>
          <w:sz w:val="24"/>
          <w:szCs w:val="24"/>
        </w:rPr>
        <w:t>za</w:t>
      </w:r>
      <w:r>
        <w:rPr>
          <w:rFonts w:ascii="Times New Roman" w:hAnsi="Times New Roman"/>
          <w:sz w:val="24"/>
          <w:szCs w:val="24"/>
        </w:rPr>
        <w:t xml:space="preserve"> 50,5%  prvenstveno zbog povećanje cijene za odvoz smeća.</w:t>
      </w:r>
    </w:p>
    <w:p w:rsidR="009E080E" w:rsidRDefault="009E080E" w:rsidP="009E080E">
      <w:pPr>
        <w:pStyle w:val="Tijeloteksta3"/>
        <w:spacing w:before="120"/>
        <w:jc w:val="left"/>
        <w:rPr>
          <w:rFonts w:ascii="Times New Roman" w:hAnsi="Times New Roman"/>
          <w:sz w:val="24"/>
          <w:szCs w:val="24"/>
        </w:rPr>
      </w:pPr>
      <w:r w:rsidRPr="00FE6FF9">
        <w:rPr>
          <w:rFonts w:ascii="Times New Roman" w:hAnsi="Times New Roman"/>
          <w:b/>
          <w:sz w:val="24"/>
          <w:szCs w:val="24"/>
        </w:rPr>
        <w:t>Šifra 323</w:t>
      </w:r>
      <w:r>
        <w:rPr>
          <w:rFonts w:ascii="Times New Roman" w:hAnsi="Times New Roman"/>
          <w:b/>
          <w:sz w:val="24"/>
          <w:szCs w:val="24"/>
        </w:rPr>
        <w:t>4</w:t>
      </w:r>
      <w:r w:rsidRPr="00FE6FF9">
        <w:rPr>
          <w:rFonts w:ascii="Times New Roman" w:hAnsi="Times New Roman"/>
          <w:b/>
          <w:szCs w:val="24"/>
        </w:rPr>
        <w:t xml:space="preserve"> </w:t>
      </w:r>
      <w:r w:rsidRPr="00FE6FF9">
        <w:rPr>
          <w:rFonts w:ascii="Times New Roman" w:hAnsi="Times New Roman"/>
          <w:sz w:val="24"/>
          <w:szCs w:val="24"/>
        </w:rPr>
        <w:t>– Rashodi za</w:t>
      </w:r>
      <w:r>
        <w:rPr>
          <w:rFonts w:ascii="Times New Roman" w:hAnsi="Times New Roman"/>
          <w:sz w:val="24"/>
          <w:szCs w:val="24"/>
        </w:rPr>
        <w:t xml:space="preserve"> Zdravstvene usluge</w:t>
      </w:r>
      <w:r w:rsidRPr="00FE6FF9">
        <w:rPr>
          <w:rFonts w:ascii="Times New Roman" w:hAnsi="Times New Roman"/>
          <w:sz w:val="24"/>
          <w:szCs w:val="24"/>
        </w:rPr>
        <w:t xml:space="preserve"> povećan</w:t>
      </w:r>
      <w:r>
        <w:rPr>
          <w:rFonts w:ascii="Times New Roman" w:hAnsi="Times New Roman"/>
          <w:sz w:val="24"/>
          <w:szCs w:val="24"/>
        </w:rPr>
        <w:t xml:space="preserve">e su </w:t>
      </w:r>
      <w:r w:rsidRPr="00FE6FF9">
        <w:rPr>
          <w:rFonts w:ascii="Times New Roman" w:hAnsi="Times New Roman"/>
          <w:sz w:val="24"/>
          <w:szCs w:val="24"/>
        </w:rPr>
        <w:t>za</w:t>
      </w:r>
      <w:r>
        <w:rPr>
          <w:rFonts w:ascii="Times New Roman" w:hAnsi="Times New Roman"/>
          <w:sz w:val="24"/>
          <w:szCs w:val="24"/>
        </w:rPr>
        <w:t xml:space="preserve"> 31,6%  zbog povećanja cijene za sistematske preglede sa 500,00 na 1.200,00 kuna dok je broj djelatnika ostao isti.</w:t>
      </w:r>
    </w:p>
    <w:p w:rsidR="009E080E" w:rsidRDefault="009E080E" w:rsidP="009E080E">
      <w:pPr>
        <w:pStyle w:val="Tijeloteksta3"/>
        <w:spacing w:before="120"/>
        <w:jc w:val="left"/>
        <w:rPr>
          <w:rFonts w:ascii="Times New Roman" w:hAnsi="Times New Roman"/>
          <w:sz w:val="24"/>
          <w:szCs w:val="24"/>
        </w:rPr>
      </w:pPr>
      <w:r w:rsidRPr="00FE6FF9">
        <w:rPr>
          <w:rFonts w:ascii="Times New Roman" w:hAnsi="Times New Roman"/>
          <w:b/>
          <w:sz w:val="24"/>
          <w:szCs w:val="24"/>
        </w:rPr>
        <w:t>Šifra 323</w:t>
      </w:r>
      <w:r>
        <w:rPr>
          <w:rFonts w:ascii="Times New Roman" w:hAnsi="Times New Roman"/>
          <w:b/>
          <w:sz w:val="24"/>
          <w:szCs w:val="24"/>
        </w:rPr>
        <w:t>7</w:t>
      </w:r>
      <w:r w:rsidRPr="00FE6FF9">
        <w:rPr>
          <w:rFonts w:ascii="Times New Roman" w:hAnsi="Times New Roman"/>
          <w:b/>
          <w:szCs w:val="24"/>
        </w:rPr>
        <w:t xml:space="preserve"> </w:t>
      </w:r>
      <w:r w:rsidRPr="00FE6FF9">
        <w:rPr>
          <w:rFonts w:ascii="Times New Roman" w:hAnsi="Times New Roman"/>
          <w:sz w:val="24"/>
          <w:szCs w:val="24"/>
        </w:rPr>
        <w:t xml:space="preserve">– </w:t>
      </w:r>
      <w:r>
        <w:rPr>
          <w:rFonts w:ascii="Times New Roman" w:hAnsi="Times New Roman"/>
          <w:sz w:val="24"/>
          <w:szCs w:val="24"/>
        </w:rPr>
        <w:t>Zbog smanjenog interesa za Obrazovanje odraslih i naplaćenih prihoda, manje je  isplaćeno zaposlenicima temeljem Ugovora o djelu koji rade u navedenoj aktivnosti.</w:t>
      </w:r>
    </w:p>
    <w:p w:rsidR="00767B8C" w:rsidRPr="00FE6FF9" w:rsidRDefault="009E080E" w:rsidP="00760FCF">
      <w:pPr>
        <w:pStyle w:val="Tijeloteksta3"/>
        <w:spacing w:before="120"/>
        <w:jc w:val="left"/>
        <w:rPr>
          <w:rFonts w:ascii="Times New Roman" w:hAnsi="Times New Roman"/>
          <w:sz w:val="24"/>
          <w:szCs w:val="24"/>
        </w:rPr>
      </w:pPr>
      <w:r w:rsidRPr="00FE6FF9">
        <w:rPr>
          <w:rFonts w:ascii="Times New Roman" w:hAnsi="Times New Roman"/>
          <w:b/>
          <w:sz w:val="24"/>
          <w:szCs w:val="24"/>
        </w:rPr>
        <w:t>Šifra 323</w:t>
      </w:r>
      <w:r>
        <w:rPr>
          <w:rFonts w:ascii="Times New Roman" w:hAnsi="Times New Roman"/>
          <w:b/>
          <w:sz w:val="24"/>
          <w:szCs w:val="24"/>
        </w:rPr>
        <w:t>9</w:t>
      </w:r>
      <w:r w:rsidRPr="00FE6FF9">
        <w:rPr>
          <w:rFonts w:ascii="Times New Roman" w:hAnsi="Times New Roman"/>
          <w:b/>
          <w:szCs w:val="24"/>
        </w:rPr>
        <w:t xml:space="preserve"> </w:t>
      </w:r>
      <w:r w:rsidRPr="00FE6FF9">
        <w:rPr>
          <w:rFonts w:ascii="Times New Roman" w:hAnsi="Times New Roman"/>
          <w:sz w:val="24"/>
          <w:szCs w:val="24"/>
        </w:rPr>
        <w:t xml:space="preserve">– </w:t>
      </w:r>
      <w:r w:rsidR="00E0408B">
        <w:rPr>
          <w:rFonts w:ascii="Times New Roman" w:hAnsi="Times New Roman"/>
          <w:sz w:val="24"/>
          <w:szCs w:val="24"/>
        </w:rPr>
        <w:t>Ostale usluge povećane suza 75,3% z</w:t>
      </w:r>
      <w:r>
        <w:rPr>
          <w:rFonts w:ascii="Times New Roman" w:hAnsi="Times New Roman"/>
          <w:sz w:val="24"/>
          <w:szCs w:val="24"/>
        </w:rPr>
        <w:t xml:space="preserve">bog </w:t>
      </w:r>
      <w:r w:rsidR="00AE7AE1" w:rsidRPr="00FE6FF9">
        <w:rPr>
          <w:rFonts w:ascii="Times New Roman" w:hAnsi="Times New Roman"/>
          <w:sz w:val="24"/>
          <w:szCs w:val="24"/>
        </w:rPr>
        <w:t>oglašavanj</w:t>
      </w:r>
      <w:r w:rsidR="00E0408B">
        <w:rPr>
          <w:rFonts w:ascii="Times New Roman" w:hAnsi="Times New Roman"/>
          <w:sz w:val="24"/>
          <w:szCs w:val="24"/>
        </w:rPr>
        <w:t>a</w:t>
      </w:r>
      <w:r w:rsidR="00AE7AE1" w:rsidRPr="00FE6FF9">
        <w:rPr>
          <w:rFonts w:ascii="Times New Roman" w:hAnsi="Times New Roman"/>
          <w:sz w:val="24"/>
          <w:szCs w:val="24"/>
        </w:rPr>
        <w:t xml:space="preserve"> Javne nabave budući da su nam osigurana znatna sredstva temelje</w:t>
      </w:r>
      <w:r w:rsidR="00E0408B">
        <w:rPr>
          <w:rFonts w:ascii="Times New Roman" w:hAnsi="Times New Roman"/>
          <w:sz w:val="24"/>
          <w:szCs w:val="24"/>
        </w:rPr>
        <w:t>m EU projekta za nabavu opreme a morali smo više puta izvršiti oglašavanje jer nam se nisu javili ponuditelji zbog nabavke specifične opreme koja nam je potrebna.</w:t>
      </w:r>
      <w:r w:rsidR="00767B8C" w:rsidRPr="00FE6FF9">
        <w:rPr>
          <w:rFonts w:ascii="Times New Roman" w:hAnsi="Times New Roman"/>
          <w:sz w:val="24"/>
          <w:szCs w:val="24"/>
        </w:rPr>
        <w:t xml:space="preserve"> </w:t>
      </w:r>
    </w:p>
    <w:p w:rsidR="00767B8C" w:rsidRPr="00FE6FF9" w:rsidRDefault="00DE4E05" w:rsidP="00760FCF">
      <w:pPr>
        <w:pStyle w:val="Tijeloteksta3"/>
        <w:spacing w:before="120"/>
        <w:jc w:val="left"/>
        <w:rPr>
          <w:rFonts w:ascii="Times New Roman" w:hAnsi="Times New Roman"/>
          <w:sz w:val="24"/>
          <w:szCs w:val="24"/>
        </w:rPr>
      </w:pPr>
      <w:r w:rsidRPr="00FE6FF9">
        <w:rPr>
          <w:rFonts w:ascii="Times New Roman" w:hAnsi="Times New Roman"/>
          <w:b/>
          <w:sz w:val="24"/>
          <w:szCs w:val="24"/>
        </w:rPr>
        <w:t>Šifra 32</w:t>
      </w:r>
      <w:r w:rsidR="00E0408B">
        <w:rPr>
          <w:rFonts w:ascii="Times New Roman" w:hAnsi="Times New Roman"/>
          <w:b/>
          <w:sz w:val="24"/>
          <w:szCs w:val="24"/>
        </w:rPr>
        <w:t>9</w:t>
      </w:r>
      <w:r w:rsidRPr="00FE6FF9">
        <w:rPr>
          <w:rFonts w:ascii="Times New Roman" w:hAnsi="Times New Roman"/>
          <w:b/>
          <w:szCs w:val="24"/>
        </w:rPr>
        <w:t xml:space="preserve"> </w:t>
      </w:r>
      <w:r w:rsidR="00767B8C" w:rsidRPr="00FE6FF9">
        <w:rPr>
          <w:rFonts w:ascii="Times New Roman" w:hAnsi="Times New Roman"/>
          <w:sz w:val="24"/>
          <w:szCs w:val="24"/>
        </w:rPr>
        <w:t xml:space="preserve">– </w:t>
      </w:r>
      <w:r w:rsidRPr="00FE6FF9">
        <w:rPr>
          <w:rFonts w:ascii="Times New Roman" w:hAnsi="Times New Roman"/>
          <w:sz w:val="24"/>
          <w:szCs w:val="24"/>
        </w:rPr>
        <w:t xml:space="preserve">Ostali nespomenuti rashodi poslovanja </w:t>
      </w:r>
      <w:r w:rsidR="00E0408B">
        <w:rPr>
          <w:rFonts w:ascii="Times New Roman" w:hAnsi="Times New Roman"/>
          <w:sz w:val="24"/>
          <w:szCs w:val="24"/>
        </w:rPr>
        <w:t xml:space="preserve">sveukupno su smanjeni za 14,5% a </w:t>
      </w:r>
      <w:r w:rsidRPr="00FE6FF9">
        <w:rPr>
          <w:rFonts w:ascii="Times New Roman" w:hAnsi="Times New Roman"/>
          <w:sz w:val="24"/>
          <w:szCs w:val="24"/>
        </w:rPr>
        <w:t>p</w:t>
      </w:r>
      <w:r w:rsidR="00767B8C" w:rsidRPr="00FE6FF9">
        <w:rPr>
          <w:rFonts w:ascii="Times New Roman" w:hAnsi="Times New Roman"/>
          <w:sz w:val="24"/>
          <w:szCs w:val="24"/>
        </w:rPr>
        <w:t>ovećan</w:t>
      </w:r>
      <w:r w:rsidR="00E0408B">
        <w:rPr>
          <w:rFonts w:ascii="Times New Roman" w:hAnsi="Times New Roman"/>
          <w:sz w:val="24"/>
          <w:szCs w:val="24"/>
        </w:rPr>
        <w:t xml:space="preserve">je je nastalo </w:t>
      </w:r>
      <w:r w:rsidR="00767B8C" w:rsidRPr="00FE6FF9">
        <w:rPr>
          <w:rFonts w:ascii="Times New Roman" w:hAnsi="Times New Roman"/>
          <w:sz w:val="24"/>
          <w:szCs w:val="24"/>
        </w:rPr>
        <w:t xml:space="preserve">kod </w:t>
      </w:r>
      <w:r w:rsidRPr="00FE6FF9">
        <w:rPr>
          <w:rFonts w:ascii="Times New Roman" w:hAnsi="Times New Roman"/>
          <w:sz w:val="24"/>
          <w:szCs w:val="24"/>
        </w:rPr>
        <w:t>troškova reprezentacije jer se izvršila nabavka pića i hrane za potrebe posjetitelja te učenika koji su obavljali radove na okolišu škole a također su se nagradili učenici koji su završi</w:t>
      </w:r>
      <w:r w:rsidR="00E0408B">
        <w:rPr>
          <w:rFonts w:ascii="Times New Roman" w:hAnsi="Times New Roman"/>
          <w:sz w:val="24"/>
          <w:szCs w:val="24"/>
        </w:rPr>
        <w:t>li razred sa najboljim uspjehom. Smanjnje je nastalo kod sudskih sporova jer je većina isplaćena u prethodnom izvještajnom razdoblju.</w:t>
      </w:r>
    </w:p>
    <w:p w:rsidR="00E90F08" w:rsidRPr="00FE6FF9" w:rsidRDefault="00DE4E05" w:rsidP="00E90F08">
      <w:pPr>
        <w:rPr>
          <w:szCs w:val="24"/>
        </w:rPr>
      </w:pPr>
      <w:r w:rsidRPr="00FE6FF9">
        <w:rPr>
          <w:b/>
          <w:szCs w:val="24"/>
        </w:rPr>
        <w:t xml:space="preserve">Šifra 343 </w:t>
      </w:r>
      <w:r w:rsidRPr="00FE6FF9">
        <w:rPr>
          <w:szCs w:val="24"/>
        </w:rPr>
        <w:t xml:space="preserve">– Ostali financijski rashodi smanjeni su </w:t>
      </w:r>
      <w:r w:rsidR="00E90F08" w:rsidRPr="00FE6FF9">
        <w:rPr>
          <w:szCs w:val="24"/>
        </w:rPr>
        <w:t>jer je u ovom razdoblju isplaćeno znatno manje sudskih presuda a samim time i kamata temeljem tužbi djelatnika zbog neisplaćivanja dodataka temeljem sklopljenog Sporazuma o osnovici za plaće u javnim službama i to za period 2015-2016. godine.</w:t>
      </w:r>
    </w:p>
    <w:p w:rsidR="00E30183" w:rsidRPr="00FE6FF9" w:rsidRDefault="00E90F08" w:rsidP="00760FCF">
      <w:pPr>
        <w:pStyle w:val="Tijeloteksta3"/>
        <w:spacing w:before="120"/>
        <w:jc w:val="left"/>
        <w:rPr>
          <w:rFonts w:ascii="Times New Roman" w:hAnsi="Times New Roman"/>
          <w:sz w:val="24"/>
          <w:szCs w:val="24"/>
        </w:rPr>
      </w:pPr>
      <w:r w:rsidRPr="00FE6FF9">
        <w:rPr>
          <w:rFonts w:ascii="Times New Roman" w:hAnsi="Times New Roman"/>
          <w:b/>
          <w:sz w:val="24"/>
          <w:szCs w:val="24"/>
        </w:rPr>
        <w:t>Šifra 7</w:t>
      </w:r>
      <w:r w:rsidRPr="00FE6FF9">
        <w:rPr>
          <w:rFonts w:ascii="Times New Roman" w:hAnsi="Times New Roman"/>
          <w:b/>
          <w:szCs w:val="24"/>
        </w:rPr>
        <w:t xml:space="preserve"> </w:t>
      </w:r>
      <w:r w:rsidR="00C800CA" w:rsidRPr="00FE6FF9">
        <w:rPr>
          <w:rFonts w:ascii="Times New Roman" w:hAnsi="Times New Roman"/>
          <w:sz w:val="24"/>
          <w:szCs w:val="24"/>
        </w:rPr>
        <w:t xml:space="preserve">– </w:t>
      </w:r>
      <w:r w:rsidRPr="00FE6FF9">
        <w:rPr>
          <w:rFonts w:ascii="Times New Roman" w:hAnsi="Times New Roman"/>
          <w:sz w:val="24"/>
          <w:szCs w:val="24"/>
        </w:rPr>
        <w:t xml:space="preserve">U ovom obračunskom razdoblju izvršili smo prodaju stare i dotrajale opreme budući   da ćemo temeljem novog EU projekta dobiti novu specijaliziranu opremu. </w:t>
      </w:r>
    </w:p>
    <w:p w:rsidR="000A5896" w:rsidRPr="00FE6FF9" w:rsidRDefault="00281675" w:rsidP="00281675">
      <w:pPr>
        <w:pStyle w:val="Tijeloteksta3"/>
        <w:spacing w:before="120"/>
        <w:jc w:val="left"/>
        <w:rPr>
          <w:rFonts w:ascii="Times New Roman" w:hAnsi="Times New Roman"/>
          <w:sz w:val="24"/>
          <w:szCs w:val="24"/>
          <w:lang w:val="en-US"/>
        </w:rPr>
      </w:pPr>
      <w:r w:rsidRPr="00FE6FF9">
        <w:rPr>
          <w:rFonts w:ascii="Times New Roman" w:hAnsi="Times New Roman"/>
          <w:b/>
          <w:sz w:val="24"/>
          <w:szCs w:val="24"/>
        </w:rPr>
        <w:t xml:space="preserve">Šifra X005 do X006 </w:t>
      </w:r>
      <w:r w:rsidR="00E26750" w:rsidRPr="00FE6FF9">
        <w:rPr>
          <w:rFonts w:ascii="Times New Roman" w:hAnsi="Times New Roman"/>
          <w:sz w:val="24"/>
          <w:szCs w:val="24"/>
        </w:rPr>
        <w:t xml:space="preserve">– </w:t>
      </w:r>
      <w:r w:rsidR="00760FCF" w:rsidRPr="00FE6FF9">
        <w:rPr>
          <w:rFonts w:ascii="Times New Roman" w:hAnsi="Times New Roman"/>
          <w:sz w:val="24"/>
          <w:szCs w:val="24"/>
        </w:rPr>
        <w:t xml:space="preserve">Višak prihoda i primitaka raspoloživ u slijedećem razdoblju iznosi </w:t>
      </w:r>
      <w:r w:rsidR="000A5896" w:rsidRPr="00FE6FF9">
        <w:rPr>
          <w:rFonts w:ascii="Times New Roman" w:hAnsi="Times New Roman"/>
          <w:sz w:val="24"/>
          <w:szCs w:val="24"/>
        </w:rPr>
        <w:t>1</w:t>
      </w:r>
      <w:r w:rsidR="00B7361D">
        <w:rPr>
          <w:rFonts w:ascii="Times New Roman" w:hAnsi="Times New Roman"/>
          <w:sz w:val="24"/>
          <w:szCs w:val="24"/>
        </w:rPr>
        <w:t>46</w:t>
      </w:r>
      <w:r w:rsidR="00760FCF" w:rsidRPr="00FE6FF9">
        <w:rPr>
          <w:rFonts w:ascii="Times New Roman" w:hAnsi="Times New Roman"/>
          <w:sz w:val="24"/>
          <w:szCs w:val="24"/>
        </w:rPr>
        <w:t>.</w:t>
      </w:r>
      <w:r w:rsidR="00B7361D">
        <w:rPr>
          <w:rFonts w:ascii="Times New Roman" w:hAnsi="Times New Roman"/>
          <w:sz w:val="24"/>
          <w:szCs w:val="24"/>
        </w:rPr>
        <w:t>032</w:t>
      </w:r>
      <w:r w:rsidRPr="00FE6FF9">
        <w:rPr>
          <w:rFonts w:ascii="Times New Roman" w:hAnsi="Times New Roman"/>
          <w:sz w:val="24"/>
          <w:szCs w:val="24"/>
        </w:rPr>
        <w:t>,</w:t>
      </w:r>
      <w:r w:rsidR="00B7361D">
        <w:rPr>
          <w:rFonts w:ascii="Times New Roman" w:hAnsi="Times New Roman"/>
          <w:sz w:val="24"/>
          <w:szCs w:val="24"/>
        </w:rPr>
        <w:t>01</w:t>
      </w:r>
      <w:r w:rsidR="00760FCF" w:rsidRPr="00FE6FF9">
        <w:rPr>
          <w:rFonts w:ascii="Times New Roman" w:hAnsi="Times New Roman"/>
          <w:sz w:val="24"/>
          <w:szCs w:val="24"/>
        </w:rPr>
        <w:t xml:space="preserve"> kn i sastoji se od viška ostvarenog </w:t>
      </w:r>
      <w:r w:rsidR="002F756B" w:rsidRPr="00FE6FF9">
        <w:rPr>
          <w:rFonts w:ascii="Times New Roman" w:hAnsi="Times New Roman"/>
          <w:sz w:val="24"/>
          <w:szCs w:val="24"/>
        </w:rPr>
        <w:t xml:space="preserve">u razdoblju </w:t>
      </w:r>
      <w:r w:rsidR="00760FCF" w:rsidRPr="00FE6FF9">
        <w:rPr>
          <w:rFonts w:ascii="Times New Roman" w:hAnsi="Times New Roman"/>
          <w:sz w:val="24"/>
          <w:szCs w:val="24"/>
        </w:rPr>
        <w:t>od 01.01.202</w:t>
      </w:r>
      <w:r w:rsidRPr="00FE6FF9">
        <w:rPr>
          <w:rFonts w:ascii="Times New Roman" w:hAnsi="Times New Roman"/>
          <w:sz w:val="24"/>
          <w:szCs w:val="24"/>
        </w:rPr>
        <w:t>2</w:t>
      </w:r>
      <w:r w:rsidR="00760FCF" w:rsidRPr="00FE6FF9">
        <w:rPr>
          <w:rFonts w:ascii="Times New Roman" w:hAnsi="Times New Roman"/>
          <w:sz w:val="24"/>
          <w:szCs w:val="24"/>
        </w:rPr>
        <w:t>. do 30.</w:t>
      </w:r>
      <w:r w:rsidR="00B7361D">
        <w:rPr>
          <w:rFonts w:ascii="Times New Roman" w:hAnsi="Times New Roman"/>
          <w:sz w:val="24"/>
          <w:szCs w:val="24"/>
        </w:rPr>
        <w:t>12</w:t>
      </w:r>
      <w:r w:rsidR="00760FCF" w:rsidRPr="00FE6FF9">
        <w:rPr>
          <w:rFonts w:ascii="Times New Roman" w:hAnsi="Times New Roman"/>
          <w:sz w:val="24"/>
          <w:szCs w:val="24"/>
        </w:rPr>
        <w:t>.202</w:t>
      </w:r>
      <w:r w:rsidRPr="00FE6FF9">
        <w:rPr>
          <w:rFonts w:ascii="Times New Roman" w:hAnsi="Times New Roman"/>
          <w:sz w:val="24"/>
          <w:szCs w:val="24"/>
        </w:rPr>
        <w:t>2</w:t>
      </w:r>
      <w:r w:rsidR="00760FCF" w:rsidRPr="00FE6FF9">
        <w:rPr>
          <w:rFonts w:ascii="Times New Roman" w:hAnsi="Times New Roman"/>
          <w:sz w:val="24"/>
          <w:szCs w:val="24"/>
        </w:rPr>
        <w:t xml:space="preserve">. u </w:t>
      </w:r>
      <w:r w:rsidR="00760FCF" w:rsidRPr="00FE6FF9">
        <w:rPr>
          <w:rFonts w:ascii="Times New Roman" w:hAnsi="Times New Roman"/>
          <w:sz w:val="24"/>
          <w:szCs w:val="24"/>
          <w:lang w:val="en-US"/>
        </w:rPr>
        <w:t xml:space="preserve">iznosu od </w:t>
      </w:r>
      <w:r w:rsidR="00B7361D">
        <w:rPr>
          <w:rFonts w:ascii="Times New Roman" w:hAnsi="Times New Roman"/>
          <w:sz w:val="24"/>
          <w:szCs w:val="24"/>
          <w:lang w:val="en-US"/>
        </w:rPr>
        <w:t>51</w:t>
      </w:r>
      <w:r w:rsidR="000A5896" w:rsidRPr="00FE6FF9">
        <w:rPr>
          <w:rFonts w:ascii="Times New Roman" w:hAnsi="Times New Roman"/>
          <w:sz w:val="24"/>
          <w:szCs w:val="24"/>
          <w:lang w:val="en-US"/>
        </w:rPr>
        <w:t>.</w:t>
      </w:r>
      <w:r w:rsidR="00B7361D">
        <w:rPr>
          <w:rFonts w:ascii="Times New Roman" w:hAnsi="Times New Roman"/>
          <w:sz w:val="24"/>
          <w:szCs w:val="24"/>
          <w:lang w:val="en-US"/>
        </w:rPr>
        <w:t>158</w:t>
      </w:r>
      <w:r w:rsidRPr="00FE6FF9">
        <w:rPr>
          <w:rFonts w:ascii="Times New Roman" w:hAnsi="Times New Roman"/>
          <w:sz w:val="24"/>
          <w:szCs w:val="24"/>
          <w:lang w:val="en-US"/>
        </w:rPr>
        <w:t>,</w:t>
      </w:r>
      <w:r w:rsidR="00B7361D">
        <w:rPr>
          <w:rFonts w:ascii="Times New Roman" w:hAnsi="Times New Roman"/>
          <w:sz w:val="24"/>
          <w:szCs w:val="24"/>
          <w:lang w:val="en-US"/>
        </w:rPr>
        <w:t>1</w:t>
      </w:r>
      <w:r w:rsidRPr="00FE6FF9">
        <w:rPr>
          <w:rFonts w:ascii="Times New Roman" w:hAnsi="Times New Roman"/>
          <w:sz w:val="24"/>
          <w:szCs w:val="24"/>
          <w:lang w:val="en-US"/>
        </w:rPr>
        <w:t>6</w:t>
      </w:r>
      <w:r w:rsidR="00760FCF" w:rsidRPr="00FE6FF9">
        <w:rPr>
          <w:rFonts w:ascii="Times New Roman" w:hAnsi="Times New Roman"/>
          <w:sz w:val="24"/>
          <w:szCs w:val="24"/>
          <w:lang w:val="en-US"/>
        </w:rPr>
        <w:t xml:space="preserve"> kn i viška od predhodne godine </w:t>
      </w:r>
      <w:r w:rsidRPr="00FE6FF9">
        <w:rPr>
          <w:rFonts w:ascii="Times New Roman" w:hAnsi="Times New Roman"/>
          <w:sz w:val="24"/>
          <w:szCs w:val="24"/>
          <w:lang w:val="en-US"/>
        </w:rPr>
        <w:t>94</w:t>
      </w:r>
      <w:r w:rsidR="000A5896" w:rsidRPr="00FE6FF9">
        <w:rPr>
          <w:rFonts w:ascii="Times New Roman" w:hAnsi="Times New Roman"/>
          <w:sz w:val="24"/>
          <w:szCs w:val="24"/>
          <w:lang w:val="en-US"/>
        </w:rPr>
        <w:t>.</w:t>
      </w:r>
      <w:r w:rsidRPr="00FE6FF9">
        <w:rPr>
          <w:rFonts w:ascii="Times New Roman" w:hAnsi="Times New Roman"/>
          <w:sz w:val="24"/>
          <w:szCs w:val="24"/>
          <w:lang w:val="en-US"/>
        </w:rPr>
        <w:t>873,85</w:t>
      </w:r>
      <w:r w:rsidR="00760FCF" w:rsidRPr="00FE6FF9">
        <w:rPr>
          <w:rFonts w:ascii="Times New Roman" w:hAnsi="Times New Roman"/>
          <w:sz w:val="24"/>
          <w:szCs w:val="24"/>
          <w:lang w:val="en-US"/>
        </w:rPr>
        <w:t xml:space="preserve"> kn. Navedeni višak ostvaren je u slijedećim aktivnostima:</w:t>
      </w:r>
      <w:r w:rsidR="002F756B" w:rsidRPr="00FE6FF9">
        <w:rPr>
          <w:rFonts w:ascii="Times New Roman" w:hAnsi="Times New Roman"/>
          <w:sz w:val="24"/>
          <w:szCs w:val="24"/>
          <w:lang w:val="en-US"/>
        </w:rPr>
        <w:t xml:space="preserve"> </w:t>
      </w:r>
    </w:p>
    <w:p w:rsidR="00281675" w:rsidRPr="00FE6FF9" w:rsidRDefault="00281675" w:rsidP="00281675">
      <w:pPr>
        <w:pStyle w:val="Tijeloteksta3"/>
        <w:jc w:val="left"/>
        <w:rPr>
          <w:rFonts w:ascii="Times New Roman" w:hAnsi="Times New Roman"/>
          <w:sz w:val="24"/>
          <w:szCs w:val="24"/>
          <w:lang w:val="en-US"/>
        </w:rPr>
      </w:pPr>
      <w:r w:rsidRPr="00FE6FF9">
        <w:rPr>
          <w:rFonts w:ascii="Times New Roman" w:hAnsi="Times New Roman"/>
          <w:sz w:val="24"/>
          <w:szCs w:val="24"/>
          <w:lang w:val="en-US"/>
        </w:rPr>
        <w:t xml:space="preserve">- </w:t>
      </w:r>
      <w:r w:rsidR="00B7361D">
        <w:rPr>
          <w:rFonts w:ascii="Times New Roman" w:hAnsi="Times New Roman"/>
          <w:sz w:val="24"/>
          <w:szCs w:val="24"/>
          <w:lang w:val="en-US"/>
        </w:rPr>
        <w:t>47</w:t>
      </w:r>
      <w:r w:rsidRPr="00FE6FF9">
        <w:rPr>
          <w:rFonts w:ascii="Times New Roman" w:hAnsi="Times New Roman"/>
          <w:sz w:val="24"/>
          <w:szCs w:val="24"/>
          <w:lang w:val="en-US"/>
        </w:rPr>
        <w:t>.6</w:t>
      </w:r>
      <w:r w:rsidR="00B7361D">
        <w:rPr>
          <w:rFonts w:ascii="Times New Roman" w:hAnsi="Times New Roman"/>
          <w:sz w:val="24"/>
          <w:szCs w:val="24"/>
          <w:lang w:val="en-US"/>
        </w:rPr>
        <w:t>55</w:t>
      </w:r>
      <w:r w:rsidRPr="00FE6FF9">
        <w:rPr>
          <w:rFonts w:ascii="Times New Roman" w:hAnsi="Times New Roman"/>
          <w:sz w:val="24"/>
          <w:szCs w:val="24"/>
          <w:lang w:val="en-US"/>
        </w:rPr>
        <w:t>,</w:t>
      </w:r>
      <w:r w:rsidR="00B7361D">
        <w:rPr>
          <w:rFonts w:ascii="Times New Roman" w:hAnsi="Times New Roman"/>
          <w:sz w:val="24"/>
          <w:szCs w:val="24"/>
          <w:lang w:val="en-US"/>
        </w:rPr>
        <w:t>11</w:t>
      </w:r>
      <w:r w:rsidRPr="00FE6FF9">
        <w:rPr>
          <w:rFonts w:ascii="Times New Roman" w:hAnsi="Times New Roman"/>
          <w:sz w:val="24"/>
          <w:szCs w:val="24"/>
          <w:lang w:val="en-US"/>
        </w:rPr>
        <w:t>0 kn odnosi se na neutrošena sredstva od Sveučilište Jurja Dobrila, Pula temeljem Ugovora o partnerstvu u provedbi ERASMUS+ projekta</w:t>
      </w:r>
    </w:p>
    <w:tbl>
      <w:tblPr>
        <w:tblW w:w="9360" w:type="dxa"/>
        <w:tblInd w:w="93" w:type="dxa"/>
        <w:tblLook w:val="04A0" w:firstRow="1" w:lastRow="0" w:firstColumn="1" w:lastColumn="0" w:noHBand="0" w:noVBand="1"/>
      </w:tblPr>
      <w:tblGrid>
        <w:gridCol w:w="9360"/>
      </w:tblGrid>
      <w:tr w:rsidR="00B7361D" w:rsidRPr="00B7361D" w:rsidTr="00B7361D">
        <w:trPr>
          <w:trHeight w:val="1068"/>
        </w:trPr>
        <w:tc>
          <w:tcPr>
            <w:tcW w:w="9360" w:type="dxa"/>
            <w:tcBorders>
              <w:top w:val="nil"/>
              <w:left w:val="nil"/>
              <w:bottom w:val="nil"/>
              <w:right w:val="nil"/>
            </w:tcBorders>
            <w:shd w:val="clear" w:color="auto" w:fill="auto"/>
            <w:vAlign w:val="center"/>
            <w:hideMark/>
          </w:tcPr>
          <w:p w:rsidR="00B7361D" w:rsidRPr="00B7361D" w:rsidRDefault="00B7361D" w:rsidP="00B7361D">
            <w:pPr>
              <w:rPr>
                <w:szCs w:val="24"/>
                <w:lang w:val="hr-HR"/>
              </w:rPr>
            </w:pPr>
            <w:r w:rsidRPr="00B7361D">
              <w:rPr>
                <w:szCs w:val="24"/>
                <w:lang w:val="hr-HR"/>
              </w:rPr>
              <w:lastRenderedPageBreak/>
              <w:t xml:space="preserve">- partneri smo u EU projektu "Budi spreman i kompetentan" koji se financira iz Europskog socijalnog fonda u okviru programa Učinkoviti ljudski potencijali 2014.-2020. godine. Zadarska županija treba nam doznačiti sredstva za putne naloge u iznosu od </w:t>
            </w:r>
            <w:r w:rsidRPr="00B7361D">
              <w:rPr>
                <w:bCs/>
                <w:szCs w:val="24"/>
                <w:lang w:val="hr-HR"/>
              </w:rPr>
              <w:t xml:space="preserve">38.433,52 </w:t>
            </w:r>
            <w:r w:rsidRPr="00B7361D">
              <w:rPr>
                <w:szCs w:val="24"/>
                <w:lang w:val="hr-HR"/>
              </w:rPr>
              <w:t>kn</w:t>
            </w:r>
          </w:p>
        </w:tc>
      </w:tr>
      <w:tr w:rsidR="00B7361D" w:rsidRPr="00B7361D" w:rsidTr="00B7361D">
        <w:trPr>
          <w:trHeight w:val="720"/>
        </w:trPr>
        <w:tc>
          <w:tcPr>
            <w:tcW w:w="9360" w:type="dxa"/>
            <w:tcBorders>
              <w:top w:val="nil"/>
              <w:left w:val="nil"/>
              <w:bottom w:val="nil"/>
              <w:right w:val="nil"/>
            </w:tcBorders>
            <w:shd w:val="clear" w:color="auto" w:fill="auto"/>
            <w:vAlign w:val="center"/>
            <w:hideMark/>
          </w:tcPr>
          <w:p w:rsidR="00B7361D" w:rsidRPr="00B7361D" w:rsidRDefault="00B7361D" w:rsidP="00B7361D">
            <w:pPr>
              <w:rPr>
                <w:szCs w:val="24"/>
                <w:lang w:val="hr-HR"/>
              </w:rPr>
            </w:pPr>
            <w:r w:rsidRPr="00B7361D">
              <w:rPr>
                <w:szCs w:val="24"/>
                <w:lang w:val="hr-HR"/>
              </w:rPr>
              <w:t xml:space="preserve"> - vlastiti prihodi od </w:t>
            </w:r>
            <w:r w:rsidRPr="00B7361D">
              <w:rPr>
                <w:bCs/>
                <w:szCs w:val="24"/>
                <w:lang w:val="hr-HR"/>
              </w:rPr>
              <w:t>12.801,51</w:t>
            </w:r>
            <w:r w:rsidRPr="00B7361D">
              <w:rPr>
                <w:szCs w:val="24"/>
                <w:lang w:val="hr-HR"/>
              </w:rPr>
              <w:t xml:space="preserve"> kn se sastoje od obrazovanja odraslih i iznajmljivanja školskih prostorija</w:t>
            </w:r>
          </w:p>
        </w:tc>
      </w:tr>
      <w:tr w:rsidR="00B7361D" w:rsidRPr="00B7361D" w:rsidTr="00B7361D">
        <w:trPr>
          <w:trHeight w:val="672"/>
        </w:trPr>
        <w:tc>
          <w:tcPr>
            <w:tcW w:w="9360" w:type="dxa"/>
            <w:tcBorders>
              <w:top w:val="nil"/>
              <w:left w:val="nil"/>
              <w:bottom w:val="nil"/>
              <w:right w:val="nil"/>
            </w:tcBorders>
            <w:shd w:val="clear" w:color="auto" w:fill="auto"/>
            <w:vAlign w:val="center"/>
            <w:hideMark/>
          </w:tcPr>
          <w:p w:rsidR="00B7361D" w:rsidRPr="00B7361D" w:rsidRDefault="00B7361D" w:rsidP="00B7361D">
            <w:pPr>
              <w:rPr>
                <w:szCs w:val="24"/>
                <w:lang w:val="hr-HR"/>
              </w:rPr>
            </w:pPr>
            <w:r w:rsidRPr="00B7361D">
              <w:rPr>
                <w:szCs w:val="24"/>
                <w:lang w:val="hr-HR"/>
              </w:rPr>
              <w:t xml:space="preserve"> - vlastiti prihodi u iznosu od </w:t>
            </w:r>
            <w:r w:rsidRPr="00B7361D">
              <w:rPr>
                <w:bCs/>
                <w:szCs w:val="24"/>
                <w:lang w:val="hr-HR"/>
              </w:rPr>
              <w:t>54.546,17</w:t>
            </w:r>
            <w:r w:rsidRPr="00B7361D">
              <w:rPr>
                <w:szCs w:val="24"/>
                <w:lang w:val="hr-HR"/>
              </w:rPr>
              <w:t xml:space="preserve"> kn se odnose na neutrošena sredstva EU projekata prijašnjih godina</w:t>
            </w:r>
          </w:p>
        </w:tc>
      </w:tr>
      <w:tr w:rsidR="00B7361D" w:rsidRPr="00B7361D" w:rsidTr="00B7361D">
        <w:trPr>
          <w:trHeight w:val="996"/>
        </w:trPr>
        <w:tc>
          <w:tcPr>
            <w:tcW w:w="9360" w:type="dxa"/>
            <w:tcBorders>
              <w:top w:val="nil"/>
              <w:left w:val="nil"/>
              <w:bottom w:val="nil"/>
              <w:right w:val="nil"/>
            </w:tcBorders>
            <w:shd w:val="clear" w:color="auto" w:fill="auto"/>
            <w:vAlign w:val="center"/>
            <w:hideMark/>
          </w:tcPr>
          <w:p w:rsidR="00B7361D" w:rsidRPr="00B7361D" w:rsidRDefault="00B7361D" w:rsidP="00B7361D">
            <w:pPr>
              <w:rPr>
                <w:szCs w:val="24"/>
                <w:lang w:val="hr-HR"/>
              </w:rPr>
            </w:pPr>
            <w:r w:rsidRPr="00B7361D">
              <w:rPr>
                <w:szCs w:val="24"/>
                <w:lang w:val="hr-HR"/>
              </w:rPr>
              <w:t xml:space="preserve"> - iznos od</w:t>
            </w:r>
            <w:r w:rsidRPr="00B7361D">
              <w:rPr>
                <w:bCs/>
                <w:szCs w:val="24"/>
                <w:lang w:val="hr-HR"/>
              </w:rPr>
              <w:t xml:space="preserve"> 110.263,71 </w:t>
            </w:r>
            <w:r w:rsidRPr="00B7361D">
              <w:rPr>
                <w:szCs w:val="24"/>
                <w:lang w:val="hr-HR"/>
              </w:rPr>
              <w:t>kn namjenjen je za nabavu opreme a ostvaren je prodajom strojeva u ovoj 2022. godini a, osim toga, dio viška vlastitih prihoda iz prethodne godine također je prenamijenjen za ovu svrhu</w:t>
            </w:r>
          </w:p>
        </w:tc>
      </w:tr>
      <w:tr w:rsidR="00B7361D" w:rsidRPr="00B7361D" w:rsidTr="00B7361D">
        <w:trPr>
          <w:trHeight w:val="696"/>
        </w:trPr>
        <w:tc>
          <w:tcPr>
            <w:tcW w:w="9360" w:type="dxa"/>
            <w:tcBorders>
              <w:top w:val="nil"/>
              <w:left w:val="nil"/>
              <w:bottom w:val="nil"/>
              <w:right w:val="nil"/>
            </w:tcBorders>
            <w:shd w:val="clear" w:color="auto" w:fill="auto"/>
            <w:vAlign w:val="center"/>
            <w:hideMark/>
          </w:tcPr>
          <w:p w:rsidR="00B7361D" w:rsidRPr="00B7361D" w:rsidRDefault="00B7361D" w:rsidP="00B7361D">
            <w:pPr>
              <w:rPr>
                <w:szCs w:val="24"/>
                <w:lang w:val="hr-HR"/>
              </w:rPr>
            </w:pPr>
            <w:r w:rsidRPr="00B7361D">
              <w:rPr>
                <w:szCs w:val="24"/>
                <w:lang w:val="hr-HR"/>
              </w:rPr>
              <w:t xml:space="preserve"> - državnom proračunu trebamo vratiti neutrošena sredstva za školski pribor za učenika iz Ukrajine u iznosu od </w:t>
            </w:r>
            <w:r w:rsidRPr="00B7361D">
              <w:rPr>
                <w:bCs/>
                <w:szCs w:val="24"/>
                <w:lang w:val="hr-HR"/>
              </w:rPr>
              <w:t>200,18</w:t>
            </w:r>
            <w:r w:rsidRPr="00B7361D">
              <w:rPr>
                <w:szCs w:val="24"/>
                <w:lang w:val="hr-HR"/>
              </w:rPr>
              <w:t xml:space="preserve"> kn</w:t>
            </w:r>
          </w:p>
        </w:tc>
      </w:tr>
      <w:tr w:rsidR="00B7361D" w:rsidRPr="00B7361D" w:rsidTr="00B7361D">
        <w:trPr>
          <w:trHeight w:val="924"/>
        </w:trPr>
        <w:tc>
          <w:tcPr>
            <w:tcW w:w="9360" w:type="dxa"/>
            <w:tcBorders>
              <w:top w:val="nil"/>
              <w:left w:val="nil"/>
              <w:bottom w:val="nil"/>
              <w:right w:val="nil"/>
            </w:tcBorders>
            <w:shd w:val="clear" w:color="auto" w:fill="auto"/>
            <w:vAlign w:val="center"/>
            <w:hideMark/>
          </w:tcPr>
          <w:p w:rsidR="00B7361D" w:rsidRPr="00B7361D" w:rsidRDefault="00B7361D" w:rsidP="00B7361D">
            <w:pPr>
              <w:rPr>
                <w:szCs w:val="24"/>
                <w:lang w:val="hr-HR"/>
              </w:rPr>
            </w:pPr>
            <w:r w:rsidRPr="00B7361D">
              <w:rPr>
                <w:szCs w:val="24"/>
                <w:lang w:val="hr-HR"/>
              </w:rPr>
              <w:t xml:space="preserve"> - iznos od</w:t>
            </w:r>
            <w:r w:rsidRPr="00B7361D">
              <w:rPr>
                <w:bCs/>
                <w:szCs w:val="24"/>
                <w:lang w:val="hr-HR"/>
              </w:rPr>
              <w:t xml:space="preserve"> 41.001,15</w:t>
            </w:r>
            <w:r w:rsidRPr="00B7361D">
              <w:rPr>
                <w:szCs w:val="24"/>
                <w:lang w:val="hr-HR"/>
              </w:rPr>
              <w:t xml:space="preserve"> kn odnosi se na metodološki manjak od Istarske županije za troškove koji su nastali u ovoj godini a biti će nam doznačeni u siječnju 2023. godine i to za prijevoz (12.323,58 kn) te za energente (28.677,57 kn).</w:t>
            </w:r>
          </w:p>
        </w:tc>
      </w:tr>
    </w:tbl>
    <w:p w:rsidR="000A5896" w:rsidRPr="008600C0" w:rsidRDefault="000A5896" w:rsidP="00A05FA4">
      <w:pPr>
        <w:jc w:val="both"/>
        <w:rPr>
          <w:szCs w:val="24"/>
          <w:lang w:val="hr-HR"/>
        </w:rPr>
      </w:pPr>
    </w:p>
    <w:p w:rsidR="008600C0" w:rsidRPr="008600C0" w:rsidRDefault="008600C0" w:rsidP="008600C0">
      <w:pPr>
        <w:rPr>
          <w:b/>
          <w:szCs w:val="24"/>
          <w:u w:val="single"/>
        </w:rPr>
      </w:pPr>
      <w:r w:rsidRPr="008600C0">
        <w:rPr>
          <w:b/>
          <w:szCs w:val="24"/>
          <w:u w:val="single"/>
        </w:rPr>
        <w:t>Bilješke uz obrazac BIL</w:t>
      </w:r>
    </w:p>
    <w:p w:rsidR="008600C0" w:rsidRPr="008600C0" w:rsidRDefault="008600C0" w:rsidP="008600C0">
      <w:pPr>
        <w:rPr>
          <w:szCs w:val="24"/>
          <w:u w:val="single"/>
        </w:rPr>
      </w:pPr>
    </w:p>
    <w:p w:rsidR="008600C0" w:rsidRPr="008600C0" w:rsidRDefault="008600C0" w:rsidP="008600C0">
      <w:pPr>
        <w:rPr>
          <w:bCs/>
          <w:szCs w:val="24"/>
          <w:lang w:val="hr-HR"/>
        </w:rPr>
      </w:pPr>
      <w:r>
        <w:rPr>
          <w:b/>
          <w:bCs/>
          <w:szCs w:val="24"/>
          <w:lang w:val="hr-HR"/>
        </w:rPr>
        <w:t>Šifra B</w:t>
      </w:r>
      <w:r w:rsidRPr="008600C0">
        <w:rPr>
          <w:b/>
          <w:bCs/>
          <w:szCs w:val="24"/>
          <w:lang w:val="hr-HR"/>
        </w:rPr>
        <w:t xml:space="preserve">002 </w:t>
      </w:r>
      <w:r w:rsidRPr="008600C0">
        <w:rPr>
          <w:bCs/>
          <w:szCs w:val="24"/>
          <w:lang w:val="hr-HR"/>
        </w:rPr>
        <w:t>- Ukupna vrijednost nefinancijske imovine na dan 31.12. 202</w:t>
      </w:r>
      <w:r>
        <w:rPr>
          <w:bCs/>
          <w:szCs w:val="24"/>
          <w:lang w:val="hr-HR"/>
        </w:rPr>
        <w:t>2</w:t>
      </w:r>
      <w:r w:rsidRPr="008600C0">
        <w:rPr>
          <w:bCs/>
          <w:szCs w:val="24"/>
          <w:lang w:val="hr-HR"/>
        </w:rPr>
        <w:t xml:space="preserve">. se smanjila za </w:t>
      </w:r>
      <w:r>
        <w:rPr>
          <w:bCs/>
          <w:szCs w:val="24"/>
          <w:lang w:val="hr-HR"/>
        </w:rPr>
        <w:t>123</w:t>
      </w:r>
      <w:r w:rsidRPr="008600C0">
        <w:rPr>
          <w:bCs/>
          <w:szCs w:val="24"/>
          <w:lang w:val="hr-HR"/>
        </w:rPr>
        <w:t>.</w:t>
      </w:r>
      <w:r>
        <w:rPr>
          <w:bCs/>
          <w:szCs w:val="24"/>
          <w:lang w:val="hr-HR"/>
        </w:rPr>
        <w:t>397,10</w:t>
      </w:r>
      <w:r w:rsidRPr="008600C0">
        <w:rPr>
          <w:bCs/>
          <w:szCs w:val="24"/>
          <w:lang w:val="hr-HR"/>
        </w:rPr>
        <w:t xml:space="preserve"> kn budući da je ispravak vrijednosti imovine i </w:t>
      </w:r>
      <w:r w:rsidR="00B91FDC">
        <w:rPr>
          <w:bCs/>
          <w:szCs w:val="24"/>
          <w:lang w:val="hr-HR"/>
        </w:rPr>
        <w:t xml:space="preserve">prodaja </w:t>
      </w:r>
      <w:r w:rsidR="00062A4D">
        <w:rPr>
          <w:bCs/>
          <w:szCs w:val="24"/>
          <w:lang w:val="hr-HR"/>
        </w:rPr>
        <w:t>imovine</w:t>
      </w:r>
      <w:r>
        <w:rPr>
          <w:bCs/>
          <w:szCs w:val="24"/>
          <w:lang w:val="hr-HR"/>
        </w:rPr>
        <w:t xml:space="preserve"> </w:t>
      </w:r>
      <w:r w:rsidRPr="008600C0">
        <w:rPr>
          <w:bCs/>
          <w:szCs w:val="24"/>
          <w:lang w:val="hr-HR"/>
        </w:rPr>
        <w:t xml:space="preserve">bio veći nego novo nabavljena imovina. U protekloj godini izvršili smo nabavu postrojenja i opreme u iznosu od </w:t>
      </w:r>
      <w:r w:rsidR="00C26EF7">
        <w:rPr>
          <w:bCs/>
          <w:szCs w:val="24"/>
          <w:lang w:val="hr-HR"/>
        </w:rPr>
        <w:t>19</w:t>
      </w:r>
      <w:r w:rsidRPr="008600C0">
        <w:rPr>
          <w:bCs/>
          <w:szCs w:val="24"/>
          <w:lang w:val="hr-HR"/>
        </w:rPr>
        <w:t>.</w:t>
      </w:r>
      <w:r w:rsidR="00C26EF7">
        <w:rPr>
          <w:bCs/>
          <w:szCs w:val="24"/>
          <w:lang w:val="hr-HR"/>
        </w:rPr>
        <w:t>444,05 kn</w:t>
      </w:r>
      <w:r w:rsidRPr="008600C0">
        <w:rPr>
          <w:bCs/>
          <w:szCs w:val="24"/>
          <w:lang w:val="hr-HR"/>
        </w:rPr>
        <w:t xml:space="preserve">, knjiga za </w:t>
      </w:r>
      <w:r w:rsidR="00C26EF7">
        <w:rPr>
          <w:bCs/>
          <w:szCs w:val="24"/>
          <w:lang w:val="hr-HR"/>
        </w:rPr>
        <w:t>7</w:t>
      </w:r>
      <w:r w:rsidRPr="008600C0">
        <w:rPr>
          <w:bCs/>
          <w:szCs w:val="24"/>
          <w:lang w:val="hr-HR"/>
        </w:rPr>
        <w:t>.</w:t>
      </w:r>
      <w:r w:rsidR="00C26EF7">
        <w:rPr>
          <w:bCs/>
          <w:szCs w:val="24"/>
          <w:lang w:val="hr-HR"/>
        </w:rPr>
        <w:t xml:space="preserve">325,05 </w:t>
      </w:r>
      <w:r w:rsidRPr="008600C0">
        <w:rPr>
          <w:bCs/>
          <w:szCs w:val="24"/>
          <w:lang w:val="hr-HR"/>
        </w:rPr>
        <w:t xml:space="preserve">kn te sitnog inventara u iznosu od </w:t>
      </w:r>
      <w:r w:rsidR="00C26EF7">
        <w:rPr>
          <w:bCs/>
          <w:szCs w:val="24"/>
          <w:lang w:val="hr-HR"/>
        </w:rPr>
        <w:t>15</w:t>
      </w:r>
      <w:r w:rsidRPr="008600C0">
        <w:rPr>
          <w:bCs/>
          <w:szCs w:val="24"/>
          <w:lang w:val="hr-HR"/>
        </w:rPr>
        <w:t>.</w:t>
      </w:r>
      <w:r w:rsidR="00C26EF7">
        <w:rPr>
          <w:bCs/>
          <w:szCs w:val="24"/>
          <w:lang w:val="hr-HR"/>
        </w:rPr>
        <w:t>124,10</w:t>
      </w:r>
      <w:r w:rsidRPr="008600C0">
        <w:rPr>
          <w:bCs/>
          <w:szCs w:val="24"/>
          <w:lang w:val="hr-HR"/>
        </w:rPr>
        <w:t xml:space="preserve"> kn.</w:t>
      </w:r>
      <w:r w:rsidR="00C26EF7">
        <w:rPr>
          <w:bCs/>
          <w:szCs w:val="24"/>
          <w:lang w:val="hr-HR"/>
        </w:rPr>
        <w:t xml:space="preserve"> Prodaja star</w:t>
      </w:r>
      <w:r w:rsidR="00062A4D">
        <w:rPr>
          <w:bCs/>
          <w:szCs w:val="24"/>
          <w:lang w:val="hr-HR"/>
        </w:rPr>
        <w:t>ih</w:t>
      </w:r>
      <w:r w:rsidR="00C26EF7">
        <w:rPr>
          <w:bCs/>
          <w:szCs w:val="24"/>
          <w:lang w:val="hr-HR"/>
        </w:rPr>
        <w:t xml:space="preserve"> i dotrajal</w:t>
      </w:r>
      <w:r w:rsidR="00062A4D">
        <w:rPr>
          <w:bCs/>
          <w:szCs w:val="24"/>
          <w:lang w:val="hr-HR"/>
        </w:rPr>
        <w:t>ih strojeva</w:t>
      </w:r>
      <w:r w:rsidR="00C26EF7">
        <w:rPr>
          <w:bCs/>
          <w:szCs w:val="24"/>
          <w:lang w:val="hr-HR"/>
        </w:rPr>
        <w:t xml:space="preserve"> izvršena je u iz</w:t>
      </w:r>
      <w:r w:rsidR="00062A4D">
        <w:rPr>
          <w:bCs/>
          <w:szCs w:val="24"/>
          <w:lang w:val="hr-HR"/>
        </w:rPr>
        <w:t>nosu od 80.900,00 kn budući da ćemo dobiti novu opremu temeljem EU projekta.</w:t>
      </w:r>
    </w:p>
    <w:p w:rsidR="008600C0" w:rsidRPr="008600C0" w:rsidRDefault="00C26EF7" w:rsidP="008600C0">
      <w:pPr>
        <w:rPr>
          <w:bCs/>
          <w:szCs w:val="24"/>
          <w:lang w:val="hr-HR"/>
        </w:rPr>
      </w:pPr>
      <w:r>
        <w:rPr>
          <w:b/>
          <w:bCs/>
          <w:szCs w:val="24"/>
          <w:lang w:val="hr-HR"/>
        </w:rPr>
        <w:t>Šifra 11</w:t>
      </w:r>
      <w:r w:rsidRPr="008600C0">
        <w:rPr>
          <w:b/>
          <w:bCs/>
          <w:szCs w:val="24"/>
          <w:lang w:val="hr-HR"/>
        </w:rPr>
        <w:t xml:space="preserve"> </w:t>
      </w:r>
      <w:r>
        <w:rPr>
          <w:bCs/>
          <w:szCs w:val="24"/>
          <w:lang w:val="hr-HR"/>
        </w:rPr>
        <w:t xml:space="preserve">- Novac na računu povećan je </w:t>
      </w:r>
      <w:r w:rsidR="008600C0" w:rsidRPr="008600C0">
        <w:rPr>
          <w:bCs/>
          <w:szCs w:val="24"/>
          <w:lang w:val="hr-HR"/>
        </w:rPr>
        <w:t xml:space="preserve">za </w:t>
      </w:r>
      <w:r>
        <w:rPr>
          <w:bCs/>
          <w:szCs w:val="24"/>
          <w:lang w:val="hr-HR"/>
        </w:rPr>
        <w:t>59</w:t>
      </w:r>
      <w:r w:rsidR="008600C0" w:rsidRPr="008600C0">
        <w:rPr>
          <w:bCs/>
          <w:szCs w:val="24"/>
          <w:lang w:val="hr-HR"/>
        </w:rPr>
        <w:t>,</w:t>
      </w:r>
      <w:r>
        <w:rPr>
          <w:bCs/>
          <w:szCs w:val="24"/>
          <w:lang w:val="hr-HR"/>
        </w:rPr>
        <w:t>3</w:t>
      </w:r>
      <w:r w:rsidR="008600C0" w:rsidRPr="008600C0">
        <w:rPr>
          <w:bCs/>
          <w:szCs w:val="24"/>
          <w:lang w:val="hr-HR"/>
        </w:rPr>
        <w:t xml:space="preserve"> % u odnosu na stanje 1.1.202</w:t>
      </w:r>
      <w:r>
        <w:rPr>
          <w:bCs/>
          <w:szCs w:val="24"/>
          <w:lang w:val="hr-HR"/>
        </w:rPr>
        <w:t>2</w:t>
      </w:r>
      <w:r w:rsidR="008600C0" w:rsidRPr="008600C0">
        <w:rPr>
          <w:bCs/>
          <w:szCs w:val="24"/>
          <w:lang w:val="hr-HR"/>
        </w:rPr>
        <w:t xml:space="preserve">. godine. Razlog tome su </w:t>
      </w:r>
      <w:r>
        <w:rPr>
          <w:bCs/>
          <w:szCs w:val="24"/>
          <w:lang w:val="hr-HR"/>
        </w:rPr>
        <w:t>ne</w:t>
      </w:r>
      <w:r w:rsidR="008600C0" w:rsidRPr="008600C0">
        <w:rPr>
          <w:bCs/>
          <w:szCs w:val="24"/>
          <w:lang w:val="hr-HR"/>
        </w:rPr>
        <w:t xml:space="preserve">utrošena sredstva od </w:t>
      </w:r>
      <w:r>
        <w:rPr>
          <w:bCs/>
          <w:szCs w:val="24"/>
          <w:lang w:val="hr-HR"/>
        </w:rPr>
        <w:t>prodaje strojeva</w:t>
      </w:r>
      <w:r w:rsidR="008600C0" w:rsidRPr="008600C0">
        <w:rPr>
          <w:bCs/>
          <w:szCs w:val="24"/>
          <w:lang w:val="hr-HR"/>
        </w:rPr>
        <w:t xml:space="preserve">. </w:t>
      </w:r>
    </w:p>
    <w:p w:rsidR="008600C0" w:rsidRPr="008600C0" w:rsidRDefault="00C26EF7" w:rsidP="008600C0">
      <w:pPr>
        <w:rPr>
          <w:bCs/>
          <w:szCs w:val="24"/>
          <w:lang w:val="hr-HR"/>
        </w:rPr>
      </w:pPr>
      <w:r>
        <w:rPr>
          <w:b/>
          <w:bCs/>
          <w:szCs w:val="24"/>
          <w:lang w:val="hr-HR"/>
        </w:rPr>
        <w:t>Šifra 129</w:t>
      </w:r>
      <w:r w:rsidRPr="008600C0">
        <w:rPr>
          <w:b/>
          <w:bCs/>
          <w:szCs w:val="24"/>
          <w:lang w:val="hr-HR"/>
        </w:rPr>
        <w:t xml:space="preserve"> </w:t>
      </w:r>
      <w:r w:rsidR="008600C0" w:rsidRPr="008600C0">
        <w:rPr>
          <w:bCs/>
          <w:szCs w:val="24"/>
          <w:lang w:val="hr-HR"/>
        </w:rPr>
        <w:t xml:space="preserve">- Ostala potraživanja su </w:t>
      </w:r>
      <w:r>
        <w:rPr>
          <w:bCs/>
          <w:szCs w:val="24"/>
          <w:lang w:val="hr-HR"/>
        </w:rPr>
        <w:t xml:space="preserve">smanjena </w:t>
      </w:r>
      <w:r w:rsidR="008600C0" w:rsidRPr="008600C0">
        <w:rPr>
          <w:bCs/>
          <w:szCs w:val="24"/>
          <w:lang w:val="hr-HR"/>
        </w:rPr>
        <w:t xml:space="preserve">za </w:t>
      </w:r>
      <w:r w:rsidR="00BF3DC7">
        <w:rPr>
          <w:bCs/>
          <w:szCs w:val="24"/>
          <w:lang w:val="hr-HR"/>
        </w:rPr>
        <w:t>47,2% a</w:t>
      </w:r>
      <w:r w:rsidR="008600C0" w:rsidRPr="008600C0">
        <w:rPr>
          <w:bCs/>
          <w:szCs w:val="24"/>
          <w:lang w:val="hr-HR"/>
        </w:rPr>
        <w:t xml:space="preserve"> to se najvećim dijelom odnosi na potraživanja za bolovanja preko 42 dana jer </w:t>
      </w:r>
      <w:r w:rsidR="00BF3DC7">
        <w:rPr>
          <w:bCs/>
          <w:szCs w:val="24"/>
          <w:lang w:val="hr-HR"/>
        </w:rPr>
        <w:t>je</w:t>
      </w:r>
      <w:r w:rsidR="008600C0" w:rsidRPr="008600C0">
        <w:rPr>
          <w:bCs/>
          <w:szCs w:val="24"/>
          <w:lang w:val="hr-HR"/>
        </w:rPr>
        <w:t xml:space="preserve"> izvršena kompenzacija za naše potraživanje prema HZZO.</w:t>
      </w:r>
    </w:p>
    <w:p w:rsidR="008600C0" w:rsidRPr="008600C0" w:rsidRDefault="00BF3DC7" w:rsidP="008600C0">
      <w:pPr>
        <w:rPr>
          <w:bCs/>
          <w:szCs w:val="24"/>
          <w:lang w:val="hr-HR"/>
        </w:rPr>
      </w:pPr>
      <w:r>
        <w:rPr>
          <w:b/>
          <w:bCs/>
          <w:szCs w:val="24"/>
          <w:lang w:val="hr-HR"/>
        </w:rPr>
        <w:t>Šifra 1</w:t>
      </w:r>
      <w:r w:rsidR="00062A4D">
        <w:rPr>
          <w:b/>
          <w:bCs/>
          <w:szCs w:val="24"/>
          <w:lang w:val="hr-HR"/>
        </w:rPr>
        <w:t>6</w:t>
      </w:r>
      <w:r w:rsidRPr="008600C0">
        <w:rPr>
          <w:b/>
          <w:bCs/>
          <w:szCs w:val="24"/>
          <w:lang w:val="hr-HR"/>
        </w:rPr>
        <w:t xml:space="preserve"> </w:t>
      </w:r>
      <w:r w:rsidR="008600C0" w:rsidRPr="008600C0">
        <w:rPr>
          <w:bCs/>
          <w:szCs w:val="24"/>
          <w:lang w:val="hr-HR"/>
        </w:rPr>
        <w:t xml:space="preserve">- Kod potraživanja za prihode poslovanja došlo je do </w:t>
      </w:r>
      <w:r w:rsidR="00062A4D">
        <w:rPr>
          <w:bCs/>
          <w:szCs w:val="24"/>
          <w:lang w:val="hr-HR"/>
        </w:rPr>
        <w:t>povećanja</w:t>
      </w:r>
      <w:r w:rsidR="008600C0" w:rsidRPr="008600C0">
        <w:rPr>
          <w:bCs/>
          <w:szCs w:val="24"/>
          <w:lang w:val="hr-HR"/>
        </w:rPr>
        <w:t xml:space="preserve"> budući da </w:t>
      </w:r>
      <w:r w:rsidR="00062A4D">
        <w:rPr>
          <w:bCs/>
          <w:szCs w:val="24"/>
          <w:lang w:val="hr-HR"/>
        </w:rPr>
        <w:t>su u prosincu izdana dva računa koja nisu redovita i to Hrvatskoj banci za obnovu i razvitak za promidžbene usluge (5.000,00 kn) te Srednjoj školi u Slovačkoj za organizacijsku potporu EU projektu (</w:t>
      </w:r>
      <w:r w:rsidR="00D70381">
        <w:rPr>
          <w:bCs/>
          <w:szCs w:val="24"/>
          <w:lang w:val="hr-HR"/>
        </w:rPr>
        <w:t>13.185,38 kn)</w:t>
      </w:r>
      <w:r w:rsidR="00062A4D">
        <w:rPr>
          <w:bCs/>
          <w:szCs w:val="24"/>
          <w:lang w:val="hr-HR"/>
        </w:rPr>
        <w:t xml:space="preserve">.   </w:t>
      </w:r>
      <w:r w:rsidR="008600C0" w:rsidRPr="008600C0">
        <w:rPr>
          <w:bCs/>
          <w:szCs w:val="24"/>
          <w:lang w:val="hr-HR"/>
        </w:rPr>
        <w:t xml:space="preserve"> </w:t>
      </w:r>
    </w:p>
    <w:p w:rsidR="008600C0" w:rsidRPr="008600C0" w:rsidRDefault="00D70381" w:rsidP="00D70381">
      <w:pPr>
        <w:rPr>
          <w:bCs/>
          <w:szCs w:val="24"/>
          <w:lang w:val="hr-HR"/>
        </w:rPr>
      </w:pPr>
      <w:r>
        <w:rPr>
          <w:b/>
          <w:bCs/>
          <w:szCs w:val="24"/>
          <w:lang w:val="hr-HR"/>
        </w:rPr>
        <w:t>Šifra 232</w:t>
      </w:r>
      <w:r w:rsidRPr="008600C0">
        <w:rPr>
          <w:b/>
          <w:bCs/>
          <w:szCs w:val="24"/>
          <w:lang w:val="hr-HR"/>
        </w:rPr>
        <w:t xml:space="preserve"> </w:t>
      </w:r>
      <w:r w:rsidR="008600C0" w:rsidRPr="008600C0">
        <w:rPr>
          <w:bCs/>
          <w:szCs w:val="24"/>
          <w:lang w:val="hr-HR"/>
        </w:rPr>
        <w:t xml:space="preserve">- U odnosu na prethodnu godinu obveze </w:t>
      </w:r>
      <w:r>
        <w:rPr>
          <w:bCs/>
          <w:szCs w:val="24"/>
          <w:lang w:val="hr-HR"/>
        </w:rPr>
        <w:t xml:space="preserve">za materijalne rashode </w:t>
      </w:r>
      <w:r w:rsidR="008600C0" w:rsidRPr="008600C0">
        <w:rPr>
          <w:bCs/>
          <w:szCs w:val="24"/>
          <w:lang w:val="hr-HR"/>
        </w:rPr>
        <w:t xml:space="preserve">su smanjene te iznose </w:t>
      </w:r>
      <w:r>
        <w:rPr>
          <w:bCs/>
          <w:szCs w:val="24"/>
          <w:lang w:val="hr-HR"/>
        </w:rPr>
        <w:t>27</w:t>
      </w:r>
      <w:r w:rsidR="008600C0" w:rsidRPr="008600C0">
        <w:rPr>
          <w:bCs/>
          <w:szCs w:val="24"/>
          <w:lang w:val="hr-HR"/>
        </w:rPr>
        <w:t>.</w:t>
      </w:r>
      <w:r>
        <w:rPr>
          <w:bCs/>
          <w:szCs w:val="24"/>
          <w:lang w:val="hr-HR"/>
        </w:rPr>
        <w:t>202,10</w:t>
      </w:r>
      <w:r w:rsidR="008600C0" w:rsidRPr="008600C0">
        <w:rPr>
          <w:bCs/>
          <w:szCs w:val="24"/>
          <w:lang w:val="hr-HR"/>
        </w:rPr>
        <w:t xml:space="preserve"> kn a </w:t>
      </w:r>
      <w:r>
        <w:rPr>
          <w:bCs/>
          <w:szCs w:val="24"/>
          <w:lang w:val="hr-HR"/>
        </w:rPr>
        <w:t>sastoje se od obaveza prema dobavljačima (13.951,02 kn) te za naknadu za prijevoz na posao i sa posla zaposlenima (13.251,08 kn)</w:t>
      </w:r>
    </w:p>
    <w:p w:rsidR="008600C0" w:rsidRDefault="00D70381" w:rsidP="008600C0">
      <w:pPr>
        <w:rPr>
          <w:bCs/>
          <w:szCs w:val="24"/>
          <w:lang w:val="hr-HR"/>
        </w:rPr>
      </w:pPr>
      <w:r>
        <w:rPr>
          <w:b/>
          <w:bCs/>
          <w:szCs w:val="24"/>
          <w:lang w:val="hr-HR"/>
        </w:rPr>
        <w:t>Šifra 239</w:t>
      </w:r>
      <w:r w:rsidRPr="008600C0">
        <w:rPr>
          <w:b/>
          <w:bCs/>
          <w:szCs w:val="24"/>
          <w:lang w:val="hr-HR"/>
        </w:rPr>
        <w:t xml:space="preserve"> </w:t>
      </w:r>
      <w:r w:rsidR="008600C0" w:rsidRPr="008600C0">
        <w:rPr>
          <w:bCs/>
          <w:szCs w:val="24"/>
          <w:lang w:val="hr-HR"/>
        </w:rPr>
        <w:t>- Ostale t</w:t>
      </w:r>
      <w:r w:rsidR="00F62D98" w:rsidRPr="008600C0">
        <w:rPr>
          <w:bCs/>
          <w:szCs w:val="24"/>
          <w:lang w:val="hr-HR"/>
        </w:rPr>
        <w:t xml:space="preserve">ekuće obveze </w:t>
      </w:r>
      <w:r w:rsidR="00F62D98">
        <w:rPr>
          <w:bCs/>
          <w:szCs w:val="24"/>
          <w:lang w:val="hr-HR"/>
        </w:rPr>
        <w:t>povećane</w:t>
      </w:r>
      <w:r w:rsidR="00F62D98" w:rsidRPr="008600C0">
        <w:rPr>
          <w:bCs/>
          <w:szCs w:val="24"/>
          <w:lang w:val="hr-HR"/>
        </w:rPr>
        <w:t xml:space="preserve"> su </w:t>
      </w:r>
      <w:r w:rsidR="00F62D98">
        <w:rPr>
          <w:bCs/>
          <w:szCs w:val="24"/>
          <w:lang w:val="hr-HR"/>
        </w:rPr>
        <w:t>36,1</w:t>
      </w:r>
      <w:r w:rsidR="00F62D98" w:rsidRPr="008600C0">
        <w:rPr>
          <w:bCs/>
          <w:szCs w:val="24"/>
          <w:lang w:val="hr-HR"/>
        </w:rPr>
        <w:t xml:space="preserve">% zato što smo </w:t>
      </w:r>
      <w:r w:rsidR="00F62D98">
        <w:rPr>
          <w:bCs/>
          <w:szCs w:val="24"/>
          <w:lang w:val="hr-HR"/>
        </w:rPr>
        <w:t xml:space="preserve">primili uplate jamčevina od dobavljača </w:t>
      </w:r>
      <w:r>
        <w:rPr>
          <w:bCs/>
          <w:szCs w:val="24"/>
          <w:lang w:val="hr-HR"/>
        </w:rPr>
        <w:t>zbog provođenja postupaka javne n</w:t>
      </w:r>
      <w:r w:rsidR="00F62D98">
        <w:rPr>
          <w:bCs/>
          <w:szCs w:val="24"/>
          <w:lang w:val="hr-HR"/>
        </w:rPr>
        <w:t>abave u iznosu od 17.500,00 kn.</w:t>
      </w:r>
    </w:p>
    <w:p w:rsidR="00F62D98" w:rsidRPr="008600C0" w:rsidRDefault="00F62D98" w:rsidP="008600C0">
      <w:pPr>
        <w:rPr>
          <w:bCs/>
          <w:szCs w:val="24"/>
          <w:lang w:val="hr-HR"/>
        </w:rPr>
      </w:pPr>
      <w:r>
        <w:rPr>
          <w:b/>
          <w:bCs/>
          <w:szCs w:val="24"/>
          <w:lang w:val="hr-HR"/>
        </w:rPr>
        <w:t>Šifra 291</w:t>
      </w:r>
      <w:r w:rsidRPr="008600C0">
        <w:rPr>
          <w:b/>
          <w:bCs/>
          <w:szCs w:val="24"/>
          <w:lang w:val="hr-HR"/>
        </w:rPr>
        <w:t xml:space="preserve"> </w:t>
      </w:r>
      <w:r w:rsidRPr="008600C0">
        <w:rPr>
          <w:bCs/>
          <w:szCs w:val="24"/>
          <w:lang w:val="hr-HR"/>
        </w:rPr>
        <w:t xml:space="preserve">- </w:t>
      </w:r>
      <w:r>
        <w:rPr>
          <w:bCs/>
          <w:szCs w:val="24"/>
          <w:lang w:val="hr-HR"/>
        </w:rPr>
        <w:t xml:space="preserve">Odgođeno plaćanje rashoda odnosi se na rashode koji nisu fakturirani a terete tekuće razdoblje. Budući da smo od listopada promijenili opskrbljivača plinom za grijanje oni nam nisu uspijeli ispostaviti računa za studeni i prosinac tako da smo taj trošak trebali procijeniti i </w:t>
      </w:r>
      <w:r w:rsidR="00BC72E8">
        <w:rPr>
          <w:bCs/>
          <w:szCs w:val="24"/>
          <w:lang w:val="hr-HR"/>
        </w:rPr>
        <w:t xml:space="preserve">ukalkulirati i </w:t>
      </w:r>
      <w:r>
        <w:rPr>
          <w:bCs/>
          <w:szCs w:val="24"/>
          <w:lang w:val="hr-HR"/>
        </w:rPr>
        <w:t>zbog toga je došlo do povećanja ove stavke.</w:t>
      </w:r>
    </w:p>
    <w:p w:rsidR="008600C0" w:rsidRDefault="00F62D98" w:rsidP="008600C0">
      <w:pPr>
        <w:rPr>
          <w:bCs/>
          <w:szCs w:val="24"/>
          <w:lang w:val="hr-HR"/>
        </w:rPr>
      </w:pPr>
      <w:r>
        <w:rPr>
          <w:b/>
          <w:bCs/>
          <w:szCs w:val="24"/>
          <w:lang w:val="hr-HR"/>
        </w:rPr>
        <w:t>Šifra 922</w:t>
      </w:r>
      <w:r w:rsidR="008600C0" w:rsidRPr="008600C0">
        <w:rPr>
          <w:bCs/>
          <w:szCs w:val="24"/>
          <w:lang w:val="hr-HR"/>
        </w:rPr>
        <w:t xml:space="preserve"> - Nakon konačnog obračuna prihoda i rashoda za 202</w:t>
      </w:r>
      <w:r>
        <w:rPr>
          <w:bCs/>
          <w:szCs w:val="24"/>
          <w:lang w:val="hr-HR"/>
        </w:rPr>
        <w:t>2</w:t>
      </w:r>
      <w:r w:rsidR="008600C0" w:rsidRPr="008600C0">
        <w:rPr>
          <w:bCs/>
          <w:szCs w:val="24"/>
          <w:lang w:val="hr-HR"/>
        </w:rPr>
        <w:t xml:space="preserve">. godinu utvrđen je </w:t>
      </w:r>
      <w:r w:rsidR="00904018">
        <w:rPr>
          <w:bCs/>
          <w:szCs w:val="24"/>
          <w:lang w:val="hr-HR"/>
        </w:rPr>
        <w:t xml:space="preserve">sveukupni </w:t>
      </w:r>
      <w:r w:rsidR="008600C0" w:rsidRPr="008600C0">
        <w:rPr>
          <w:bCs/>
          <w:szCs w:val="24"/>
          <w:lang w:val="hr-HR"/>
        </w:rPr>
        <w:t xml:space="preserve">višak prihoda u iznosu od </w:t>
      </w:r>
      <w:r w:rsidR="00904018">
        <w:rPr>
          <w:bCs/>
          <w:szCs w:val="24"/>
          <w:lang w:val="hr-HR"/>
        </w:rPr>
        <w:t>146</w:t>
      </w:r>
      <w:r w:rsidR="008600C0" w:rsidRPr="008600C0">
        <w:rPr>
          <w:bCs/>
          <w:szCs w:val="24"/>
          <w:lang w:val="hr-HR"/>
        </w:rPr>
        <w:t>.</w:t>
      </w:r>
      <w:r w:rsidR="00904018">
        <w:rPr>
          <w:bCs/>
          <w:szCs w:val="24"/>
          <w:lang w:val="hr-HR"/>
        </w:rPr>
        <w:t>032,01</w:t>
      </w:r>
      <w:r w:rsidR="008600C0" w:rsidRPr="008600C0">
        <w:rPr>
          <w:bCs/>
          <w:szCs w:val="24"/>
          <w:lang w:val="hr-HR"/>
        </w:rPr>
        <w:t xml:space="preserve"> kn.</w:t>
      </w:r>
      <w:r w:rsidR="002A795B">
        <w:rPr>
          <w:bCs/>
          <w:szCs w:val="24"/>
          <w:lang w:val="hr-HR"/>
        </w:rPr>
        <w:t xml:space="preserve"> V</w:t>
      </w:r>
      <w:r w:rsidR="008600C0" w:rsidRPr="008600C0">
        <w:rPr>
          <w:bCs/>
          <w:szCs w:val="24"/>
          <w:lang w:val="hr-HR"/>
        </w:rPr>
        <w:t>iš</w:t>
      </w:r>
      <w:r w:rsidR="002A795B">
        <w:rPr>
          <w:bCs/>
          <w:szCs w:val="24"/>
          <w:lang w:val="hr-HR"/>
        </w:rPr>
        <w:t>ak</w:t>
      </w:r>
      <w:r w:rsidR="008600C0" w:rsidRPr="008600C0">
        <w:rPr>
          <w:bCs/>
          <w:szCs w:val="24"/>
          <w:lang w:val="hr-HR"/>
        </w:rPr>
        <w:t xml:space="preserve"> prihoda </w:t>
      </w:r>
      <w:r w:rsidR="00904018">
        <w:rPr>
          <w:bCs/>
          <w:szCs w:val="24"/>
          <w:lang w:val="hr-HR"/>
        </w:rPr>
        <w:t>poslovanja</w:t>
      </w:r>
      <w:r w:rsidR="002A795B">
        <w:rPr>
          <w:bCs/>
          <w:szCs w:val="24"/>
          <w:lang w:val="hr-HR"/>
        </w:rPr>
        <w:t xml:space="preserve"> smanjen je u odnosu na 1.1.2022. za 54,6% zbog povećanja metodološkog manjka te prijenosa sredstava na višak prihoda od nefinancijske imovine</w:t>
      </w:r>
      <w:r w:rsidR="008600C0" w:rsidRPr="008600C0">
        <w:rPr>
          <w:bCs/>
          <w:szCs w:val="24"/>
          <w:lang w:val="hr-HR"/>
        </w:rPr>
        <w:t>.</w:t>
      </w:r>
      <w:r w:rsidR="002A795B">
        <w:rPr>
          <w:bCs/>
          <w:szCs w:val="24"/>
          <w:lang w:val="hr-HR"/>
        </w:rPr>
        <w:t xml:space="preserve"> Višak prihoda od nefinancijske imovine povećan je </w:t>
      </w:r>
      <w:r w:rsidR="008600C0" w:rsidRPr="008600C0">
        <w:rPr>
          <w:bCs/>
          <w:szCs w:val="24"/>
          <w:lang w:val="hr-HR"/>
        </w:rPr>
        <w:t xml:space="preserve"> </w:t>
      </w:r>
      <w:r w:rsidR="002A795B">
        <w:rPr>
          <w:bCs/>
          <w:szCs w:val="24"/>
          <w:lang w:val="hr-HR"/>
        </w:rPr>
        <w:lastRenderedPageBreak/>
        <w:t>za</w:t>
      </w:r>
      <w:r w:rsidR="008600C0" w:rsidRPr="008600C0">
        <w:rPr>
          <w:bCs/>
          <w:szCs w:val="24"/>
          <w:lang w:val="hr-HR"/>
        </w:rPr>
        <w:t xml:space="preserve"> iznos od </w:t>
      </w:r>
      <w:r w:rsidR="002A795B">
        <w:rPr>
          <w:bCs/>
          <w:szCs w:val="24"/>
          <w:lang w:val="hr-HR"/>
        </w:rPr>
        <w:t>94</w:t>
      </w:r>
      <w:r w:rsidR="008600C0" w:rsidRPr="008600C0">
        <w:rPr>
          <w:bCs/>
          <w:szCs w:val="24"/>
          <w:lang w:val="hr-HR"/>
        </w:rPr>
        <w:t>.</w:t>
      </w:r>
      <w:r w:rsidR="002A795B">
        <w:rPr>
          <w:bCs/>
          <w:szCs w:val="24"/>
          <w:lang w:val="hr-HR"/>
        </w:rPr>
        <w:t>308,66</w:t>
      </w:r>
      <w:r w:rsidR="008600C0" w:rsidRPr="008600C0">
        <w:rPr>
          <w:bCs/>
          <w:szCs w:val="24"/>
          <w:lang w:val="hr-HR"/>
        </w:rPr>
        <w:t xml:space="preserve"> kn </w:t>
      </w:r>
      <w:r w:rsidR="002A795B">
        <w:rPr>
          <w:bCs/>
          <w:szCs w:val="24"/>
          <w:lang w:val="hr-HR"/>
        </w:rPr>
        <w:t>zbog već navedenog prijenosa sa viška poslovanja te prihoda od prodaje imovine.</w:t>
      </w:r>
      <w:r w:rsidR="002A795B" w:rsidRPr="008600C0">
        <w:rPr>
          <w:bCs/>
          <w:szCs w:val="24"/>
          <w:lang w:val="hr-HR"/>
        </w:rPr>
        <w:t xml:space="preserve"> </w:t>
      </w:r>
    </w:p>
    <w:tbl>
      <w:tblPr>
        <w:tblW w:w="8804" w:type="dxa"/>
        <w:tblInd w:w="93" w:type="dxa"/>
        <w:tblLook w:val="04A0" w:firstRow="1" w:lastRow="0" w:firstColumn="1" w:lastColumn="0" w:noHBand="0" w:noVBand="1"/>
      </w:tblPr>
      <w:tblGrid>
        <w:gridCol w:w="2840"/>
        <w:gridCol w:w="1995"/>
        <w:gridCol w:w="2126"/>
        <w:gridCol w:w="1843"/>
      </w:tblGrid>
      <w:tr w:rsidR="0092340F" w:rsidRPr="0092340F" w:rsidTr="0092340F">
        <w:trPr>
          <w:trHeight w:val="298"/>
        </w:trPr>
        <w:tc>
          <w:tcPr>
            <w:tcW w:w="2840" w:type="dxa"/>
            <w:tcBorders>
              <w:top w:val="nil"/>
              <w:left w:val="nil"/>
              <w:bottom w:val="nil"/>
              <w:right w:val="nil"/>
            </w:tcBorders>
            <w:shd w:val="clear" w:color="auto" w:fill="auto"/>
            <w:noWrap/>
            <w:vAlign w:val="center"/>
            <w:hideMark/>
          </w:tcPr>
          <w:p w:rsidR="0092340F" w:rsidRPr="0092340F" w:rsidRDefault="0092340F" w:rsidP="0092340F">
            <w:pPr>
              <w:rPr>
                <w:sz w:val="20"/>
                <w:lang w:val="hr-HR"/>
              </w:rPr>
            </w:pP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40F" w:rsidRPr="0092340F" w:rsidRDefault="0092340F" w:rsidP="0092340F">
            <w:pPr>
              <w:jc w:val="center"/>
              <w:rPr>
                <w:sz w:val="20"/>
                <w:lang w:val="hr-HR"/>
              </w:rPr>
            </w:pPr>
            <w:r>
              <w:rPr>
                <w:sz w:val="20"/>
                <w:lang w:val="hr-HR"/>
              </w:rPr>
              <w:t>Redovno poslovanje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340F" w:rsidRPr="0092340F" w:rsidRDefault="0092340F" w:rsidP="0092340F">
            <w:pPr>
              <w:jc w:val="center"/>
              <w:rPr>
                <w:sz w:val="20"/>
                <w:lang w:val="hr-HR"/>
              </w:rPr>
            </w:pPr>
            <w:r>
              <w:rPr>
                <w:sz w:val="20"/>
                <w:lang w:val="hr-HR"/>
              </w:rPr>
              <w:t>Nefinancijska imovina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340F" w:rsidRPr="0092340F" w:rsidRDefault="0092340F" w:rsidP="0092340F">
            <w:pPr>
              <w:jc w:val="center"/>
              <w:rPr>
                <w:sz w:val="20"/>
                <w:lang w:val="hr-HR"/>
              </w:rPr>
            </w:pPr>
            <w:r>
              <w:rPr>
                <w:sz w:val="20"/>
                <w:lang w:val="hr-HR"/>
              </w:rPr>
              <w:t>Konačni obračun</w:t>
            </w:r>
          </w:p>
        </w:tc>
      </w:tr>
      <w:tr w:rsidR="0092340F" w:rsidRPr="0092340F" w:rsidTr="0092340F">
        <w:trPr>
          <w:trHeight w:val="26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40F" w:rsidRPr="0092340F" w:rsidRDefault="0092340F" w:rsidP="0092340F">
            <w:pPr>
              <w:rPr>
                <w:sz w:val="20"/>
                <w:lang w:val="hr-HR"/>
              </w:rPr>
            </w:pPr>
            <w:r w:rsidRPr="0092340F">
              <w:rPr>
                <w:sz w:val="20"/>
                <w:lang w:val="hr-HR"/>
              </w:rPr>
              <w:t>POČETNO STANJE 1.1.202</w:t>
            </w:r>
            <w:r>
              <w:rPr>
                <w:sz w:val="20"/>
                <w:lang w:val="hr-HR"/>
              </w:rPr>
              <w:t>2</w:t>
            </w:r>
            <w:r w:rsidRPr="0092340F">
              <w:rPr>
                <w:sz w:val="20"/>
                <w:lang w:val="hr-HR"/>
              </w:rPr>
              <w:t>.</w:t>
            </w:r>
          </w:p>
        </w:tc>
        <w:tc>
          <w:tcPr>
            <w:tcW w:w="1995"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78 993,59</w:t>
            </w:r>
          </w:p>
        </w:tc>
        <w:tc>
          <w:tcPr>
            <w:tcW w:w="2126"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15 880,26</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94 873,85</w:t>
            </w:r>
          </w:p>
        </w:tc>
      </w:tr>
      <w:tr w:rsidR="0092340F" w:rsidRPr="0092340F" w:rsidTr="0092340F">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2340F" w:rsidRPr="0092340F" w:rsidRDefault="0092340F" w:rsidP="0092340F">
            <w:pPr>
              <w:rPr>
                <w:sz w:val="20"/>
                <w:lang w:val="hr-HR"/>
              </w:rPr>
            </w:pPr>
            <w:r w:rsidRPr="0092340F">
              <w:rPr>
                <w:sz w:val="20"/>
                <w:lang w:val="hr-HR"/>
              </w:rPr>
              <w:t>ODLUKA (korištenje viška)</w:t>
            </w:r>
          </w:p>
        </w:tc>
        <w:tc>
          <w:tcPr>
            <w:tcW w:w="1995" w:type="dxa"/>
            <w:tcBorders>
              <w:top w:val="nil"/>
              <w:left w:val="nil"/>
              <w:bottom w:val="nil"/>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-25 000,00</w:t>
            </w:r>
          </w:p>
        </w:tc>
        <w:tc>
          <w:tcPr>
            <w:tcW w:w="2126" w:type="dxa"/>
            <w:tcBorders>
              <w:top w:val="nil"/>
              <w:left w:val="nil"/>
              <w:bottom w:val="nil"/>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25 000,00</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 xml:space="preserve"> 0,00</w:t>
            </w:r>
          </w:p>
        </w:tc>
      </w:tr>
      <w:tr w:rsidR="0092340F" w:rsidRPr="0092340F" w:rsidTr="0092340F">
        <w:trPr>
          <w:trHeight w:val="26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92340F" w:rsidRPr="0092340F" w:rsidRDefault="0092340F" w:rsidP="0092340F">
            <w:pPr>
              <w:rPr>
                <w:sz w:val="20"/>
                <w:lang w:val="hr-HR"/>
              </w:rPr>
            </w:pPr>
            <w:r w:rsidRPr="0092340F">
              <w:rPr>
                <w:sz w:val="20"/>
                <w:lang w:val="hr-HR"/>
              </w:rPr>
              <w:t>UKUPNO</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53 993,59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40 880,26</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94 873,85</w:t>
            </w:r>
          </w:p>
        </w:tc>
      </w:tr>
      <w:tr w:rsidR="0092340F" w:rsidRPr="0092340F" w:rsidTr="0092340F">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2340F" w:rsidRPr="0092340F" w:rsidRDefault="0092340F" w:rsidP="0092340F">
            <w:pPr>
              <w:rPr>
                <w:sz w:val="20"/>
                <w:lang w:val="hr-HR"/>
              </w:rPr>
            </w:pPr>
            <w:r w:rsidRPr="0092340F">
              <w:rPr>
                <w:sz w:val="20"/>
                <w:lang w:val="hr-HR"/>
              </w:rPr>
              <w:t>VIŠAK / MANJAK 2022.</w:t>
            </w:r>
          </w:p>
        </w:tc>
        <w:tc>
          <w:tcPr>
            <w:tcW w:w="1995"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-2 972,74</w:t>
            </w:r>
          </w:p>
        </w:tc>
        <w:tc>
          <w:tcPr>
            <w:tcW w:w="2126"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54 130,90</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51 158,16</w:t>
            </w:r>
          </w:p>
        </w:tc>
      </w:tr>
      <w:tr w:rsidR="0092340F" w:rsidRPr="0092340F" w:rsidTr="0092340F">
        <w:trPr>
          <w:trHeight w:val="26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92340F" w:rsidRPr="0092340F" w:rsidRDefault="0092340F" w:rsidP="0092340F">
            <w:pPr>
              <w:rPr>
                <w:sz w:val="20"/>
                <w:lang w:val="hr-HR"/>
              </w:rPr>
            </w:pPr>
            <w:r w:rsidRPr="0092340F">
              <w:rPr>
                <w:sz w:val="20"/>
                <w:lang w:val="hr-HR"/>
              </w:rPr>
              <w:t>UKUPNO</w:t>
            </w:r>
          </w:p>
        </w:tc>
        <w:tc>
          <w:tcPr>
            <w:tcW w:w="1995"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51 020,85</w:t>
            </w:r>
          </w:p>
        </w:tc>
        <w:tc>
          <w:tcPr>
            <w:tcW w:w="2126"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95 011,16</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146 032,01</w:t>
            </w:r>
          </w:p>
        </w:tc>
      </w:tr>
      <w:tr w:rsidR="0092340F" w:rsidRPr="0092340F" w:rsidTr="0092340F">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2340F" w:rsidRPr="0092340F" w:rsidRDefault="0092340F" w:rsidP="0092340F">
            <w:pPr>
              <w:rPr>
                <w:sz w:val="20"/>
                <w:lang w:val="hr-HR"/>
              </w:rPr>
            </w:pPr>
            <w:r w:rsidRPr="0092340F">
              <w:rPr>
                <w:sz w:val="20"/>
                <w:lang w:val="hr-HR"/>
              </w:rPr>
              <w:t>KOREKCIJA REZULTATA</w:t>
            </w:r>
          </w:p>
        </w:tc>
        <w:tc>
          <w:tcPr>
            <w:tcW w:w="1995"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-15 177,50</w:t>
            </w:r>
          </w:p>
        </w:tc>
        <w:tc>
          <w:tcPr>
            <w:tcW w:w="2126"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15 177,50</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 xml:space="preserve"> 0,00</w:t>
            </w:r>
          </w:p>
        </w:tc>
      </w:tr>
      <w:tr w:rsidR="0092340F" w:rsidRPr="0092340F" w:rsidTr="0092340F">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2340F" w:rsidRPr="0092340F" w:rsidRDefault="0092340F" w:rsidP="0092340F">
            <w:pPr>
              <w:rPr>
                <w:sz w:val="20"/>
                <w:lang w:val="hr-HR"/>
              </w:rPr>
            </w:pPr>
            <w:r w:rsidRPr="0092340F">
              <w:rPr>
                <w:sz w:val="20"/>
                <w:lang w:val="hr-HR"/>
              </w:rPr>
              <w:t>UKUPNO 31.12.2022.</w:t>
            </w:r>
          </w:p>
        </w:tc>
        <w:tc>
          <w:tcPr>
            <w:tcW w:w="1995"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35 843,35</w:t>
            </w:r>
          </w:p>
        </w:tc>
        <w:tc>
          <w:tcPr>
            <w:tcW w:w="2126"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110 188,66</w:t>
            </w:r>
          </w:p>
        </w:tc>
        <w:tc>
          <w:tcPr>
            <w:tcW w:w="1843" w:type="dxa"/>
            <w:tcBorders>
              <w:top w:val="nil"/>
              <w:left w:val="nil"/>
              <w:bottom w:val="single" w:sz="4" w:space="0" w:color="auto"/>
              <w:right w:val="single" w:sz="4" w:space="0" w:color="auto"/>
            </w:tcBorders>
            <w:shd w:val="clear" w:color="auto" w:fill="auto"/>
            <w:noWrap/>
            <w:vAlign w:val="center"/>
            <w:hideMark/>
          </w:tcPr>
          <w:p w:rsidR="0092340F" w:rsidRPr="0092340F" w:rsidRDefault="0092340F" w:rsidP="0092340F">
            <w:pPr>
              <w:jc w:val="center"/>
              <w:rPr>
                <w:sz w:val="20"/>
                <w:lang w:val="hr-HR"/>
              </w:rPr>
            </w:pPr>
            <w:r w:rsidRPr="0092340F">
              <w:rPr>
                <w:sz w:val="20"/>
                <w:lang w:val="hr-HR"/>
              </w:rPr>
              <w:t>146 032,01</w:t>
            </w:r>
          </w:p>
        </w:tc>
      </w:tr>
    </w:tbl>
    <w:p w:rsidR="00995862" w:rsidRPr="008600C0" w:rsidRDefault="00995862" w:rsidP="008600C0">
      <w:pPr>
        <w:rPr>
          <w:bCs/>
          <w:szCs w:val="24"/>
          <w:lang w:val="hr-HR"/>
        </w:rPr>
      </w:pPr>
    </w:p>
    <w:p w:rsidR="008600C0" w:rsidRPr="008600C0" w:rsidRDefault="002A795B" w:rsidP="008600C0">
      <w:pPr>
        <w:rPr>
          <w:bCs/>
          <w:szCs w:val="24"/>
          <w:lang w:val="hr-HR"/>
        </w:rPr>
      </w:pPr>
      <w:r>
        <w:rPr>
          <w:b/>
          <w:bCs/>
          <w:szCs w:val="24"/>
          <w:lang w:val="hr-HR"/>
        </w:rPr>
        <w:t>Šifra 991</w:t>
      </w:r>
      <w:r w:rsidR="008600C0" w:rsidRPr="008600C0">
        <w:rPr>
          <w:b/>
          <w:bCs/>
          <w:szCs w:val="24"/>
          <w:lang w:val="hr-HR"/>
        </w:rPr>
        <w:t xml:space="preserve"> </w:t>
      </w:r>
      <w:r w:rsidR="008600C0" w:rsidRPr="008600C0">
        <w:rPr>
          <w:bCs/>
          <w:szCs w:val="24"/>
          <w:lang w:val="hr-HR"/>
        </w:rPr>
        <w:t xml:space="preserve">- Izvanbilančni zapisi na dan </w:t>
      </w:r>
      <w:r>
        <w:rPr>
          <w:bCs/>
          <w:szCs w:val="24"/>
          <w:lang w:val="hr-HR"/>
        </w:rPr>
        <w:t>3</w:t>
      </w:r>
      <w:r w:rsidR="008600C0" w:rsidRPr="008600C0">
        <w:rPr>
          <w:bCs/>
          <w:szCs w:val="24"/>
          <w:lang w:val="hr-HR"/>
        </w:rPr>
        <w:t>1.1</w:t>
      </w:r>
      <w:r>
        <w:rPr>
          <w:bCs/>
          <w:szCs w:val="24"/>
          <w:lang w:val="hr-HR"/>
        </w:rPr>
        <w:t>2</w:t>
      </w:r>
      <w:r w:rsidR="008600C0" w:rsidRPr="008600C0">
        <w:rPr>
          <w:bCs/>
          <w:szCs w:val="24"/>
          <w:lang w:val="hr-HR"/>
        </w:rPr>
        <w:t>.202</w:t>
      </w:r>
      <w:r>
        <w:rPr>
          <w:bCs/>
          <w:szCs w:val="24"/>
          <w:lang w:val="hr-HR"/>
        </w:rPr>
        <w:t>2</w:t>
      </w:r>
      <w:r w:rsidR="008600C0" w:rsidRPr="008600C0">
        <w:rPr>
          <w:bCs/>
          <w:szCs w:val="24"/>
          <w:lang w:val="hr-HR"/>
        </w:rPr>
        <w:t>. godine odnose se na opremu koju smo dobili u prethodnom razdoblju od MZO temeljem dva projekta</w:t>
      </w:r>
      <w:r w:rsidR="00102002">
        <w:rPr>
          <w:bCs/>
          <w:szCs w:val="24"/>
          <w:lang w:val="hr-HR"/>
        </w:rPr>
        <w:t xml:space="preserve"> (104.876,11 kn) te na primljene zadužnice kao instrument osiguranja plaćanja koje su ugovorene prilikom provođenja postupka javne nabave u iznosu od 77.811,50 kn.</w:t>
      </w:r>
      <w:r w:rsidR="008600C0" w:rsidRPr="008600C0">
        <w:rPr>
          <w:bCs/>
          <w:szCs w:val="24"/>
          <w:lang w:val="hr-HR"/>
        </w:rPr>
        <w:t xml:space="preserve"> </w:t>
      </w:r>
    </w:p>
    <w:p w:rsidR="009B6F14" w:rsidRDefault="009B6F14" w:rsidP="00A05FA4">
      <w:pPr>
        <w:jc w:val="both"/>
        <w:rPr>
          <w:szCs w:val="24"/>
          <w:lang w:val="hr-HR"/>
        </w:rPr>
      </w:pPr>
    </w:p>
    <w:p w:rsidR="008600C0" w:rsidRPr="00BC72E8" w:rsidRDefault="008600C0" w:rsidP="008600C0">
      <w:pPr>
        <w:rPr>
          <w:b/>
          <w:szCs w:val="24"/>
          <w:u w:val="single"/>
        </w:rPr>
      </w:pPr>
      <w:r w:rsidRPr="00BC72E8">
        <w:rPr>
          <w:b/>
          <w:szCs w:val="24"/>
          <w:u w:val="single"/>
        </w:rPr>
        <w:t>Obvezne Bilješke uz bilancu</w:t>
      </w:r>
    </w:p>
    <w:p w:rsidR="008600C0" w:rsidRPr="00BC72E8" w:rsidRDefault="008600C0" w:rsidP="008600C0">
      <w:pPr>
        <w:rPr>
          <w:szCs w:val="24"/>
          <w:u w:val="single"/>
        </w:rPr>
      </w:pPr>
    </w:p>
    <w:p w:rsidR="008600C0" w:rsidRPr="00BC72E8" w:rsidRDefault="00B7667A" w:rsidP="00B7667A">
      <w:pPr>
        <w:rPr>
          <w:szCs w:val="24"/>
          <w:lang w:val="hr-HR"/>
        </w:rPr>
      </w:pPr>
      <w:r>
        <w:rPr>
          <w:bCs/>
          <w:szCs w:val="24"/>
          <w:lang w:val="hr-HR"/>
        </w:rPr>
        <w:t>Na dan 31.12.</w:t>
      </w:r>
      <w:r w:rsidR="008600C0" w:rsidRPr="00BC72E8">
        <w:rPr>
          <w:bCs/>
          <w:szCs w:val="24"/>
          <w:lang w:val="hr-HR"/>
        </w:rPr>
        <w:t>202</w:t>
      </w:r>
      <w:r>
        <w:rPr>
          <w:bCs/>
          <w:szCs w:val="24"/>
          <w:lang w:val="hr-HR"/>
        </w:rPr>
        <w:t>2</w:t>
      </w:r>
      <w:r w:rsidR="008600C0" w:rsidRPr="00BC72E8">
        <w:rPr>
          <w:bCs/>
          <w:szCs w:val="24"/>
          <w:lang w:val="hr-HR"/>
        </w:rPr>
        <w:t>. godin</w:t>
      </w:r>
      <w:r>
        <w:rPr>
          <w:bCs/>
          <w:szCs w:val="24"/>
          <w:lang w:val="hr-HR"/>
        </w:rPr>
        <w:t xml:space="preserve">e nemamo sudskih sporova ali imamo </w:t>
      </w:r>
      <w:r w:rsidR="008600C0" w:rsidRPr="00BC72E8">
        <w:rPr>
          <w:bCs/>
          <w:szCs w:val="24"/>
          <w:lang w:val="hr-HR"/>
        </w:rPr>
        <w:t>poslovne događaje vezano za ugovorne odnose i slično koji uz ispunjenje određenih uvjeta mogu postati obveza ili imovina</w:t>
      </w:r>
      <w:r w:rsidR="008B5CB1">
        <w:rPr>
          <w:bCs/>
          <w:szCs w:val="24"/>
          <w:lang w:val="hr-HR"/>
        </w:rPr>
        <w:t xml:space="preserve"> budući da smo provodili postupak javne nabave.</w:t>
      </w:r>
    </w:p>
    <w:tbl>
      <w:tblPr>
        <w:tblW w:w="9371" w:type="dxa"/>
        <w:tblInd w:w="93" w:type="dxa"/>
        <w:tblLayout w:type="fixed"/>
        <w:tblLook w:val="04A0" w:firstRow="1" w:lastRow="0" w:firstColumn="1" w:lastColumn="0" w:noHBand="0" w:noVBand="1"/>
      </w:tblPr>
      <w:tblGrid>
        <w:gridCol w:w="582"/>
        <w:gridCol w:w="993"/>
        <w:gridCol w:w="20"/>
        <w:gridCol w:w="1093"/>
        <w:gridCol w:w="162"/>
        <w:gridCol w:w="1197"/>
        <w:gridCol w:w="1213"/>
        <w:gridCol w:w="63"/>
        <w:gridCol w:w="1042"/>
        <w:gridCol w:w="989"/>
        <w:gridCol w:w="933"/>
        <w:gridCol w:w="1084"/>
      </w:tblGrid>
      <w:tr w:rsidR="006D26DF" w:rsidRPr="006D26DF" w:rsidTr="006D26DF">
        <w:trPr>
          <w:trHeight w:val="240"/>
        </w:trPr>
        <w:tc>
          <w:tcPr>
            <w:tcW w:w="582"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bookmarkStart w:id="1" w:name="RANGE!A1:I12"/>
            <w:bookmarkEnd w:id="1"/>
          </w:p>
        </w:tc>
        <w:tc>
          <w:tcPr>
            <w:tcW w:w="1013" w:type="dxa"/>
            <w:gridSpan w:val="2"/>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1093"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1359" w:type="dxa"/>
            <w:gridSpan w:val="2"/>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1213"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1105" w:type="dxa"/>
            <w:gridSpan w:val="2"/>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989"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933"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1084"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r>
      <w:tr w:rsidR="006D26DF" w:rsidRPr="006D26DF" w:rsidTr="006D26DF">
        <w:trPr>
          <w:trHeight w:val="435"/>
        </w:trPr>
        <w:tc>
          <w:tcPr>
            <w:tcW w:w="582" w:type="dxa"/>
            <w:tcBorders>
              <w:top w:val="nil"/>
              <w:left w:val="nil"/>
              <w:bottom w:val="nil"/>
              <w:right w:val="nil"/>
            </w:tcBorders>
            <w:shd w:val="clear" w:color="000000" w:fill="FFFFFF"/>
            <w:noWrap/>
            <w:vAlign w:val="center"/>
            <w:hideMark/>
          </w:tcPr>
          <w:p w:rsidR="006D26DF" w:rsidRPr="006D26DF" w:rsidRDefault="006D26DF" w:rsidP="006D26DF">
            <w:pPr>
              <w:jc w:val="center"/>
              <w:rPr>
                <w:sz w:val="16"/>
                <w:szCs w:val="16"/>
                <w:lang w:val="hr-HR"/>
              </w:rPr>
            </w:pPr>
            <w:r w:rsidRPr="006D26DF">
              <w:rPr>
                <w:sz w:val="16"/>
                <w:szCs w:val="16"/>
                <w:lang w:val="hr-HR"/>
              </w:rPr>
              <w:t> </w:t>
            </w:r>
          </w:p>
        </w:tc>
        <w:tc>
          <w:tcPr>
            <w:tcW w:w="3465" w:type="dxa"/>
            <w:gridSpan w:val="5"/>
            <w:tcBorders>
              <w:top w:val="single" w:sz="4" w:space="0" w:color="auto"/>
              <w:left w:val="single" w:sz="4" w:space="0" w:color="auto"/>
              <w:bottom w:val="single" w:sz="4" w:space="0" w:color="auto"/>
              <w:right w:val="single" w:sz="4" w:space="0" w:color="000000"/>
            </w:tcBorders>
            <w:shd w:val="pct12" w:color="000000" w:fill="FFFFFF"/>
            <w:noWrap/>
            <w:vAlign w:val="center"/>
            <w:hideMark/>
          </w:tcPr>
          <w:p w:rsidR="006D26DF" w:rsidRPr="006D26DF" w:rsidRDefault="006D26DF" w:rsidP="006D26DF">
            <w:pPr>
              <w:jc w:val="center"/>
              <w:rPr>
                <w:sz w:val="16"/>
                <w:szCs w:val="16"/>
                <w:lang w:val="hr-HR"/>
              </w:rPr>
            </w:pPr>
            <w:r w:rsidRPr="006D26DF">
              <w:rPr>
                <w:sz w:val="16"/>
                <w:szCs w:val="16"/>
                <w:lang w:val="hr-HR"/>
              </w:rPr>
              <w:t>INDUSTRIJSKO-OBRTNIČKA ŠKOLA PULA</w:t>
            </w:r>
          </w:p>
        </w:tc>
        <w:tc>
          <w:tcPr>
            <w:tcW w:w="1213" w:type="dxa"/>
            <w:tcBorders>
              <w:top w:val="nil"/>
              <w:left w:val="nil"/>
              <w:bottom w:val="nil"/>
              <w:right w:val="nil"/>
            </w:tcBorders>
            <w:shd w:val="clear" w:color="000000" w:fill="FFFFFF"/>
            <w:noWrap/>
            <w:vAlign w:val="center"/>
            <w:hideMark/>
          </w:tcPr>
          <w:p w:rsidR="006D26DF" w:rsidRPr="006D26DF" w:rsidRDefault="006D26DF" w:rsidP="006D26DF">
            <w:pPr>
              <w:jc w:val="center"/>
              <w:rPr>
                <w:sz w:val="16"/>
                <w:szCs w:val="16"/>
                <w:lang w:val="hr-HR"/>
              </w:rPr>
            </w:pPr>
            <w:r w:rsidRPr="006D26DF">
              <w:rPr>
                <w:sz w:val="16"/>
                <w:szCs w:val="16"/>
                <w:lang w:val="hr-HR"/>
              </w:rPr>
              <w:t> </w:t>
            </w:r>
          </w:p>
        </w:tc>
        <w:tc>
          <w:tcPr>
            <w:tcW w:w="1105" w:type="dxa"/>
            <w:gridSpan w:val="2"/>
            <w:tcBorders>
              <w:top w:val="single" w:sz="4" w:space="0" w:color="auto"/>
              <w:left w:val="single" w:sz="4" w:space="0" w:color="auto"/>
              <w:bottom w:val="single" w:sz="4" w:space="0" w:color="auto"/>
              <w:right w:val="single" w:sz="4" w:space="0" w:color="auto"/>
            </w:tcBorders>
            <w:shd w:val="pct12" w:color="000000" w:fill="FFFFFF"/>
            <w:noWrap/>
            <w:vAlign w:val="center"/>
            <w:hideMark/>
          </w:tcPr>
          <w:p w:rsidR="006D26DF" w:rsidRPr="006D26DF" w:rsidRDefault="006D26DF" w:rsidP="006D26DF">
            <w:pPr>
              <w:jc w:val="center"/>
              <w:rPr>
                <w:sz w:val="16"/>
                <w:szCs w:val="16"/>
                <w:lang w:val="hr-HR"/>
              </w:rPr>
            </w:pPr>
            <w:r w:rsidRPr="006D26DF">
              <w:rPr>
                <w:sz w:val="16"/>
                <w:szCs w:val="16"/>
                <w:lang w:val="hr-HR"/>
              </w:rPr>
              <w:t>21765234516</w:t>
            </w:r>
          </w:p>
        </w:tc>
        <w:tc>
          <w:tcPr>
            <w:tcW w:w="989" w:type="dxa"/>
            <w:tcBorders>
              <w:top w:val="single" w:sz="4" w:space="0" w:color="auto"/>
              <w:left w:val="nil"/>
              <w:bottom w:val="single" w:sz="4" w:space="0" w:color="auto"/>
              <w:right w:val="single" w:sz="4" w:space="0" w:color="auto"/>
            </w:tcBorders>
            <w:shd w:val="pct12" w:color="000000" w:fill="FFFFFF"/>
            <w:noWrap/>
            <w:vAlign w:val="center"/>
            <w:hideMark/>
          </w:tcPr>
          <w:p w:rsidR="006D26DF" w:rsidRPr="006D26DF" w:rsidRDefault="006D26DF" w:rsidP="006D26DF">
            <w:pPr>
              <w:jc w:val="center"/>
              <w:rPr>
                <w:sz w:val="16"/>
                <w:szCs w:val="16"/>
                <w:lang w:val="hr-HR"/>
              </w:rPr>
            </w:pPr>
            <w:r w:rsidRPr="006D26DF">
              <w:rPr>
                <w:sz w:val="16"/>
                <w:szCs w:val="16"/>
                <w:lang w:val="hr-HR"/>
              </w:rPr>
              <w:t>17249</w:t>
            </w:r>
          </w:p>
        </w:tc>
        <w:tc>
          <w:tcPr>
            <w:tcW w:w="2017" w:type="dxa"/>
            <w:gridSpan w:val="2"/>
            <w:tcBorders>
              <w:top w:val="single" w:sz="4" w:space="0" w:color="auto"/>
              <w:left w:val="nil"/>
              <w:bottom w:val="single" w:sz="4" w:space="0" w:color="auto"/>
              <w:right w:val="single" w:sz="4" w:space="0" w:color="auto"/>
            </w:tcBorders>
            <w:shd w:val="pct12" w:color="000000" w:fill="FFFFFF"/>
            <w:noWrap/>
            <w:vAlign w:val="center"/>
            <w:hideMark/>
          </w:tcPr>
          <w:p w:rsidR="006D26DF" w:rsidRPr="006D26DF" w:rsidRDefault="006D26DF" w:rsidP="006D26DF">
            <w:pPr>
              <w:jc w:val="center"/>
              <w:rPr>
                <w:sz w:val="16"/>
                <w:szCs w:val="16"/>
                <w:lang w:val="hr-HR"/>
              </w:rPr>
            </w:pPr>
            <w:r w:rsidRPr="006D26DF">
              <w:rPr>
                <w:sz w:val="16"/>
                <w:szCs w:val="16"/>
                <w:lang w:val="hr-HR"/>
              </w:rPr>
              <w:t>PULA, RIZZIJEVA 40</w:t>
            </w:r>
          </w:p>
        </w:tc>
      </w:tr>
      <w:tr w:rsidR="006D26DF" w:rsidRPr="006D26DF" w:rsidTr="006D26DF">
        <w:trPr>
          <w:trHeight w:val="240"/>
        </w:trPr>
        <w:tc>
          <w:tcPr>
            <w:tcW w:w="582"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4678" w:type="dxa"/>
            <w:gridSpan w:val="6"/>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r w:rsidRPr="006D26DF">
              <w:rPr>
                <w:sz w:val="16"/>
                <w:szCs w:val="16"/>
                <w:lang w:val="hr-HR"/>
              </w:rPr>
              <w:t>Naziv proračuna, proračunskog i izvanproračunskog korisnika</w:t>
            </w:r>
          </w:p>
        </w:tc>
        <w:tc>
          <w:tcPr>
            <w:tcW w:w="1105" w:type="dxa"/>
            <w:gridSpan w:val="2"/>
            <w:tcBorders>
              <w:top w:val="nil"/>
              <w:left w:val="nil"/>
              <w:bottom w:val="nil"/>
              <w:right w:val="nil"/>
            </w:tcBorders>
            <w:shd w:val="clear" w:color="auto" w:fill="auto"/>
            <w:noWrap/>
            <w:vAlign w:val="center"/>
            <w:hideMark/>
          </w:tcPr>
          <w:p w:rsidR="006D26DF" w:rsidRPr="006D26DF" w:rsidRDefault="006D26DF" w:rsidP="006D26DF">
            <w:pPr>
              <w:jc w:val="center"/>
              <w:rPr>
                <w:sz w:val="16"/>
                <w:szCs w:val="16"/>
                <w:lang w:val="hr-HR"/>
              </w:rPr>
            </w:pPr>
            <w:r w:rsidRPr="006D26DF">
              <w:rPr>
                <w:sz w:val="16"/>
                <w:szCs w:val="16"/>
                <w:lang w:val="hr-HR"/>
              </w:rPr>
              <w:t>OIB</w:t>
            </w:r>
          </w:p>
        </w:tc>
        <w:tc>
          <w:tcPr>
            <w:tcW w:w="989" w:type="dxa"/>
            <w:tcBorders>
              <w:top w:val="nil"/>
              <w:left w:val="nil"/>
              <w:bottom w:val="nil"/>
              <w:right w:val="nil"/>
            </w:tcBorders>
            <w:shd w:val="clear" w:color="auto" w:fill="auto"/>
            <w:noWrap/>
            <w:vAlign w:val="center"/>
            <w:hideMark/>
          </w:tcPr>
          <w:p w:rsidR="006D26DF" w:rsidRPr="006D26DF" w:rsidRDefault="006D26DF" w:rsidP="006D26DF">
            <w:pPr>
              <w:jc w:val="center"/>
              <w:rPr>
                <w:sz w:val="16"/>
                <w:szCs w:val="16"/>
                <w:lang w:val="hr-HR"/>
              </w:rPr>
            </w:pPr>
            <w:r w:rsidRPr="006D26DF">
              <w:rPr>
                <w:sz w:val="16"/>
                <w:szCs w:val="16"/>
                <w:lang w:val="hr-HR"/>
              </w:rPr>
              <w:t>RKP BROJ</w:t>
            </w:r>
          </w:p>
        </w:tc>
        <w:tc>
          <w:tcPr>
            <w:tcW w:w="2017" w:type="dxa"/>
            <w:gridSpan w:val="2"/>
            <w:tcBorders>
              <w:top w:val="single" w:sz="4" w:space="0" w:color="auto"/>
              <w:left w:val="nil"/>
              <w:bottom w:val="nil"/>
              <w:right w:val="nil"/>
            </w:tcBorders>
            <w:shd w:val="clear" w:color="auto" w:fill="auto"/>
            <w:noWrap/>
            <w:vAlign w:val="center"/>
            <w:hideMark/>
          </w:tcPr>
          <w:p w:rsidR="006D26DF" w:rsidRPr="006D26DF" w:rsidRDefault="006D26DF" w:rsidP="006D26DF">
            <w:pPr>
              <w:jc w:val="center"/>
              <w:rPr>
                <w:sz w:val="16"/>
                <w:szCs w:val="16"/>
                <w:lang w:val="hr-HR"/>
              </w:rPr>
            </w:pPr>
            <w:r w:rsidRPr="006D26DF">
              <w:rPr>
                <w:sz w:val="16"/>
                <w:szCs w:val="16"/>
                <w:lang w:val="hr-HR"/>
              </w:rPr>
              <w:t>Adresa</w:t>
            </w:r>
          </w:p>
        </w:tc>
      </w:tr>
      <w:tr w:rsidR="006D26DF" w:rsidRPr="006D26DF" w:rsidTr="006D26DF">
        <w:trPr>
          <w:trHeight w:val="405"/>
        </w:trPr>
        <w:tc>
          <w:tcPr>
            <w:tcW w:w="582" w:type="dxa"/>
            <w:tcBorders>
              <w:top w:val="nil"/>
              <w:left w:val="nil"/>
              <w:bottom w:val="nil"/>
              <w:right w:val="nil"/>
            </w:tcBorders>
            <w:shd w:val="clear" w:color="auto" w:fill="auto"/>
            <w:noWrap/>
            <w:vAlign w:val="center"/>
            <w:hideMark/>
          </w:tcPr>
          <w:p w:rsidR="006D26DF" w:rsidRPr="006D26DF" w:rsidRDefault="006D26DF" w:rsidP="006D26DF">
            <w:pPr>
              <w:rPr>
                <w:sz w:val="16"/>
                <w:szCs w:val="16"/>
                <w:lang w:val="hr-HR"/>
              </w:rPr>
            </w:pPr>
          </w:p>
        </w:tc>
        <w:tc>
          <w:tcPr>
            <w:tcW w:w="8789" w:type="dxa"/>
            <w:gridSpan w:val="11"/>
            <w:tcBorders>
              <w:top w:val="nil"/>
              <w:left w:val="nil"/>
              <w:bottom w:val="nil"/>
              <w:right w:val="nil"/>
            </w:tcBorders>
            <w:shd w:val="clear" w:color="auto" w:fill="auto"/>
            <w:noWrap/>
            <w:vAlign w:val="center"/>
            <w:hideMark/>
          </w:tcPr>
          <w:p w:rsidR="006D26DF" w:rsidRPr="006D26DF" w:rsidRDefault="006D26DF" w:rsidP="006D26DF">
            <w:pPr>
              <w:rPr>
                <w:b/>
                <w:bCs/>
                <w:sz w:val="16"/>
                <w:szCs w:val="16"/>
                <w:lang w:val="hr-HR"/>
              </w:rPr>
            </w:pPr>
            <w:r w:rsidRPr="006D26DF">
              <w:rPr>
                <w:b/>
                <w:bCs/>
                <w:sz w:val="16"/>
                <w:szCs w:val="16"/>
                <w:lang w:val="hr-HR"/>
              </w:rPr>
              <w:t>Tablica 1: Popis ugovornih obveza</w:t>
            </w:r>
          </w:p>
        </w:tc>
      </w:tr>
      <w:tr w:rsidR="006D26DF" w:rsidRPr="006D26DF" w:rsidTr="00964122">
        <w:trPr>
          <w:trHeight w:val="192"/>
        </w:trPr>
        <w:tc>
          <w:tcPr>
            <w:tcW w:w="582" w:type="dxa"/>
            <w:tcBorders>
              <w:top w:val="nil"/>
              <w:left w:val="nil"/>
              <w:bottom w:val="nil"/>
              <w:right w:val="nil"/>
            </w:tcBorders>
            <w:shd w:val="clear" w:color="auto" w:fill="auto"/>
            <w:noWrap/>
            <w:vAlign w:val="center"/>
          </w:tcPr>
          <w:p w:rsidR="006D26DF" w:rsidRPr="006D26DF" w:rsidRDefault="006D26DF" w:rsidP="006D26DF">
            <w:pPr>
              <w:rPr>
                <w:sz w:val="16"/>
                <w:szCs w:val="16"/>
                <w:lang w:val="hr-HR"/>
              </w:rPr>
            </w:pPr>
          </w:p>
        </w:tc>
        <w:tc>
          <w:tcPr>
            <w:tcW w:w="993" w:type="dxa"/>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1275" w:type="dxa"/>
            <w:gridSpan w:val="3"/>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1197" w:type="dxa"/>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1276" w:type="dxa"/>
            <w:gridSpan w:val="2"/>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1042" w:type="dxa"/>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989" w:type="dxa"/>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933" w:type="dxa"/>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c>
          <w:tcPr>
            <w:tcW w:w="1084" w:type="dxa"/>
            <w:tcBorders>
              <w:top w:val="nil"/>
              <w:left w:val="nil"/>
              <w:bottom w:val="single" w:sz="4" w:space="0" w:color="auto"/>
              <w:right w:val="nil"/>
            </w:tcBorders>
            <w:shd w:val="clear" w:color="auto" w:fill="auto"/>
            <w:noWrap/>
            <w:vAlign w:val="center"/>
          </w:tcPr>
          <w:p w:rsidR="006D26DF" w:rsidRPr="006D26DF" w:rsidRDefault="006D26DF" w:rsidP="006D26DF">
            <w:pPr>
              <w:jc w:val="center"/>
              <w:rPr>
                <w:b/>
                <w:bCs/>
                <w:sz w:val="16"/>
                <w:szCs w:val="16"/>
                <w:lang w:val="hr-HR"/>
              </w:rPr>
            </w:pPr>
          </w:p>
        </w:tc>
      </w:tr>
      <w:tr w:rsidR="006D26DF" w:rsidRPr="006D26DF" w:rsidTr="006D26DF">
        <w:trPr>
          <w:trHeight w:val="816"/>
        </w:trPr>
        <w:tc>
          <w:tcPr>
            <w:tcW w:w="58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Red.</w:t>
            </w:r>
            <w:r w:rsidRPr="006D26DF">
              <w:rPr>
                <w:b/>
                <w:bCs/>
                <w:sz w:val="16"/>
                <w:szCs w:val="16"/>
                <w:lang w:val="hr-HR"/>
              </w:rPr>
              <w:br/>
              <w:t>br.</w:t>
            </w:r>
          </w:p>
        </w:tc>
        <w:tc>
          <w:tcPr>
            <w:tcW w:w="993" w:type="dxa"/>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Datum izdavanja/</w:t>
            </w:r>
            <w:r w:rsidRPr="006D26DF">
              <w:rPr>
                <w:b/>
                <w:bCs/>
                <w:sz w:val="16"/>
                <w:szCs w:val="16"/>
                <w:lang w:val="hr-HR"/>
              </w:rPr>
              <w:br/>
              <w:t>primanja jamstva</w:t>
            </w:r>
          </w:p>
        </w:tc>
        <w:tc>
          <w:tcPr>
            <w:tcW w:w="1275" w:type="dxa"/>
            <w:gridSpan w:val="3"/>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Instrument osiguranja</w:t>
            </w:r>
          </w:p>
        </w:tc>
        <w:tc>
          <w:tcPr>
            <w:tcW w:w="1197" w:type="dxa"/>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Iznos danog/primljenog jamstva</w:t>
            </w:r>
          </w:p>
        </w:tc>
        <w:tc>
          <w:tcPr>
            <w:tcW w:w="1276" w:type="dxa"/>
            <w:gridSpan w:val="2"/>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 xml:space="preserve">  Primatelj/</w:t>
            </w:r>
            <w:r w:rsidRPr="006D26DF">
              <w:rPr>
                <w:b/>
                <w:bCs/>
                <w:sz w:val="16"/>
                <w:szCs w:val="16"/>
                <w:lang w:val="hr-HR"/>
              </w:rPr>
              <w:br/>
              <w:t>davatelj jamstva</w:t>
            </w:r>
          </w:p>
        </w:tc>
        <w:tc>
          <w:tcPr>
            <w:tcW w:w="1042" w:type="dxa"/>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Namjena</w:t>
            </w:r>
          </w:p>
        </w:tc>
        <w:tc>
          <w:tcPr>
            <w:tcW w:w="989" w:type="dxa"/>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Dokument</w:t>
            </w:r>
          </w:p>
        </w:tc>
        <w:tc>
          <w:tcPr>
            <w:tcW w:w="933" w:type="dxa"/>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Rok važenja</w:t>
            </w:r>
          </w:p>
        </w:tc>
        <w:tc>
          <w:tcPr>
            <w:tcW w:w="1084" w:type="dxa"/>
            <w:tcBorders>
              <w:top w:val="nil"/>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b/>
                <w:bCs/>
                <w:sz w:val="16"/>
                <w:szCs w:val="16"/>
                <w:lang w:val="hr-HR"/>
              </w:rPr>
            </w:pPr>
            <w:r w:rsidRPr="006D26DF">
              <w:rPr>
                <w:b/>
                <w:bCs/>
                <w:sz w:val="16"/>
                <w:szCs w:val="16"/>
                <w:lang w:val="hr-HR"/>
              </w:rPr>
              <w:t>Napomena</w:t>
            </w:r>
          </w:p>
        </w:tc>
      </w:tr>
      <w:tr w:rsidR="006D26DF" w:rsidRPr="006D26DF" w:rsidTr="006D26DF">
        <w:trPr>
          <w:trHeight w:val="81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D26DF" w:rsidRPr="006D26DF" w:rsidRDefault="006D26DF" w:rsidP="006D26DF">
            <w:pPr>
              <w:jc w:val="center"/>
              <w:rPr>
                <w:b/>
                <w:bCs/>
                <w:sz w:val="16"/>
                <w:szCs w:val="16"/>
                <w:lang w:val="hr-HR"/>
              </w:rPr>
            </w:pPr>
            <w:r w:rsidRPr="006D26DF">
              <w:rPr>
                <w:b/>
                <w:bCs/>
                <w:sz w:val="16"/>
                <w:szCs w:val="16"/>
                <w:lang w:val="hr-HR"/>
              </w:rPr>
              <w:t>1</w:t>
            </w:r>
          </w:p>
        </w:tc>
        <w:tc>
          <w:tcPr>
            <w:tcW w:w="99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29.08.2022.</w:t>
            </w:r>
          </w:p>
        </w:tc>
        <w:tc>
          <w:tcPr>
            <w:tcW w:w="1275" w:type="dxa"/>
            <w:gridSpan w:val="3"/>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ZADUŽNICA</w:t>
            </w:r>
          </w:p>
        </w:tc>
        <w:tc>
          <w:tcPr>
            <w:tcW w:w="1197"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12.811,50 KN</w:t>
            </w:r>
          </w:p>
        </w:tc>
        <w:tc>
          <w:tcPr>
            <w:tcW w:w="1276" w:type="dxa"/>
            <w:gridSpan w:val="2"/>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TOKIĆ D.O.O.</w:t>
            </w:r>
          </w:p>
        </w:tc>
        <w:tc>
          <w:tcPr>
            <w:tcW w:w="1042"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Jamstvo za uredno ispunjenje ugovora</w:t>
            </w:r>
          </w:p>
        </w:tc>
        <w:tc>
          <w:tcPr>
            <w:tcW w:w="989"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OV-9527/2022</w:t>
            </w:r>
          </w:p>
        </w:tc>
        <w:tc>
          <w:tcPr>
            <w:tcW w:w="93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Do ispunjenja ugovora</w:t>
            </w:r>
          </w:p>
        </w:tc>
        <w:tc>
          <w:tcPr>
            <w:tcW w:w="1084"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27.1.2023.</w:t>
            </w:r>
          </w:p>
        </w:tc>
      </w:tr>
      <w:tr w:rsidR="006D26DF" w:rsidRPr="006D26DF" w:rsidTr="006D26DF">
        <w:trPr>
          <w:trHeight w:val="81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D26DF" w:rsidRPr="006D26DF" w:rsidRDefault="006D26DF" w:rsidP="006D26DF">
            <w:pPr>
              <w:jc w:val="center"/>
              <w:rPr>
                <w:b/>
                <w:bCs/>
                <w:sz w:val="16"/>
                <w:szCs w:val="16"/>
                <w:lang w:val="hr-HR"/>
              </w:rPr>
            </w:pPr>
            <w:r w:rsidRPr="006D26DF">
              <w:rPr>
                <w:b/>
                <w:bCs/>
                <w:sz w:val="16"/>
                <w:szCs w:val="16"/>
                <w:lang w:val="hr-HR"/>
              </w:rPr>
              <w:t>2</w:t>
            </w:r>
          </w:p>
        </w:tc>
        <w:tc>
          <w:tcPr>
            <w:tcW w:w="99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30.08.2022.</w:t>
            </w:r>
          </w:p>
        </w:tc>
        <w:tc>
          <w:tcPr>
            <w:tcW w:w="1275" w:type="dxa"/>
            <w:gridSpan w:val="3"/>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BJANKO ZADUŽNICA</w:t>
            </w:r>
          </w:p>
        </w:tc>
        <w:tc>
          <w:tcPr>
            <w:tcW w:w="1197"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50.000,00 KN</w:t>
            </w:r>
          </w:p>
        </w:tc>
        <w:tc>
          <w:tcPr>
            <w:tcW w:w="1276" w:type="dxa"/>
            <w:gridSpan w:val="2"/>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TEXIMP D.O.O.</w:t>
            </w:r>
          </w:p>
        </w:tc>
        <w:tc>
          <w:tcPr>
            <w:tcW w:w="1042"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Jamstvo za uredno ispunjenje ugovora</w:t>
            </w:r>
          </w:p>
        </w:tc>
        <w:tc>
          <w:tcPr>
            <w:tcW w:w="989"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OV-5170/2022</w:t>
            </w:r>
          </w:p>
        </w:tc>
        <w:tc>
          <w:tcPr>
            <w:tcW w:w="93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Do ispunjenja ugovora</w:t>
            </w:r>
          </w:p>
        </w:tc>
        <w:tc>
          <w:tcPr>
            <w:tcW w:w="1084"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 </w:t>
            </w:r>
          </w:p>
        </w:tc>
      </w:tr>
      <w:tr w:rsidR="006D26DF" w:rsidRPr="006D26DF" w:rsidTr="006D26DF">
        <w:trPr>
          <w:trHeight w:val="81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D26DF" w:rsidRPr="006D26DF" w:rsidRDefault="006D26DF" w:rsidP="006D26DF">
            <w:pPr>
              <w:jc w:val="center"/>
              <w:rPr>
                <w:b/>
                <w:bCs/>
                <w:sz w:val="16"/>
                <w:szCs w:val="16"/>
                <w:lang w:val="hr-HR"/>
              </w:rPr>
            </w:pPr>
            <w:r w:rsidRPr="006D26DF">
              <w:rPr>
                <w:b/>
                <w:bCs/>
                <w:sz w:val="16"/>
                <w:szCs w:val="16"/>
                <w:lang w:val="hr-HR"/>
              </w:rPr>
              <w:t>3</w:t>
            </w:r>
          </w:p>
        </w:tc>
        <w:tc>
          <w:tcPr>
            <w:tcW w:w="99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30.08.2022.</w:t>
            </w:r>
          </w:p>
        </w:tc>
        <w:tc>
          <w:tcPr>
            <w:tcW w:w="1275" w:type="dxa"/>
            <w:gridSpan w:val="3"/>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BJANKO ZADUŽNICA</w:t>
            </w:r>
          </w:p>
        </w:tc>
        <w:tc>
          <w:tcPr>
            <w:tcW w:w="1197"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10.000,00 KN</w:t>
            </w:r>
          </w:p>
        </w:tc>
        <w:tc>
          <w:tcPr>
            <w:tcW w:w="1276" w:type="dxa"/>
            <w:gridSpan w:val="2"/>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TEXIMP D.O.O.</w:t>
            </w:r>
          </w:p>
        </w:tc>
        <w:tc>
          <w:tcPr>
            <w:tcW w:w="1042"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Jamstvo za uredno ispunjenje ugovora</w:t>
            </w:r>
          </w:p>
        </w:tc>
        <w:tc>
          <w:tcPr>
            <w:tcW w:w="989"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OV-5172/2022</w:t>
            </w:r>
          </w:p>
        </w:tc>
        <w:tc>
          <w:tcPr>
            <w:tcW w:w="93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Do ispunjenja ugovora</w:t>
            </w:r>
          </w:p>
        </w:tc>
        <w:tc>
          <w:tcPr>
            <w:tcW w:w="1084"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 </w:t>
            </w:r>
          </w:p>
        </w:tc>
      </w:tr>
      <w:tr w:rsidR="006D26DF" w:rsidRPr="006D26DF" w:rsidTr="006D26DF">
        <w:trPr>
          <w:trHeight w:val="81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D26DF" w:rsidRPr="006D26DF" w:rsidRDefault="006D26DF" w:rsidP="006D26DF">
            <w:pPr>
              <w:jc w:val="center"/>
              <w:rPr>
                <w:b/>
                <w:bCs/>
                <w:sz w:val="16"/>
                <w:szCs w:val="16"/>
                <w:lang w:val="hr-HR"/>
              </w:rPr>
            </w:pPr>
            <w:r w:rsidRPr="006D26DF">
              <w:rPr>
                <w:b/>
                <w:bCs/>
                <w:sz w:val="16"/>
                <w:szCs w:val="16"/>
                <w:lang w:val="hr-HR"/>
              </w:rPr>
              <w:t>4</w:t>
            </w:r>
          </w:p>
        </w:tc>
        <w:tc>
          <w:tcPr>
            <w:tcW w:w="99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08.12.2022.</w:t>
            </w:r>
          </w:p>
        </w:tc>
        <w:tc>
          <w:tcPr>
            <w:tcW w:w="1275" w:type="dxa"/>
            <w:gridSpan w:val="3"/>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BJANKO ZADUŽNICA</w:t>
            </w:r>
          </w:p>
        </w:tc>
        <w:tc>
          <w:tcPr>
            <w:tcW w:w="1197"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jc w:val="center"/>
              <w:rPr>
                <w:sz w:val="16"/>
                <w:szCs w:val="16"/>
                <w:lang w:val="hr-HR"/>
              </w:rPr>
            </w:pPr>
            <w:r w:rsidRPr="006D26DF">
              <w:rPr>
                <w:sz w:val="16"/>
                <w:szCs w:val="16"/>
                <w:lang w:val="hr-HR"/>
              </w:rPr>
              <w:t>5.000,00 KN</w:t>
            </w:r>
          </w:p>
        </w:tc>
        <w:tc>
          <w:tcPr>
            <w:tcW w:w="1276" w:type="dxa"/>
            <w:gridSpan w:val="2"/>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MICOM ELEKTRONIKA D.O.O.</w:t>
            </w:r>
          </w:p>
        </w:tc>
        <w:tc>
          <w:tcPr>
            <w:tcW w:w="1042"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Jamstvo za ozbiljnost ponude</w:t>
            </w:r>
          </w:p>
        </w:tc>
        <w:tc>
          <w:tcPr>
            <w:tcW w:w="989"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OV-15319/2022</w:t>
            </w:r>
          </w:p>
        </w:tc>
        <w:tc>
          <w:tcPr>
            <w:tcW w:w="933"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Do dostave jamstva za ispunjenje ugovora</w:t>
            </w:r>
          </w:p>
        </w:tc>
        <w:tc>
          <w:tcPr>
            <w:tcW w:w="1084" w:type="dxa"/>
            <w:tcBorders>
              <w:top w:val="nil"/>
              <w:left w:val="nil"/>
              <w:bottom w:val="single" w:sz="4" w:space="0" w:color="auto"/>
              <w:right w:val="single" w:sz="4" w:space="0" w:color="auto"/>
            </w:tcBorders>
            <w:shd w:val="clear" w:color="auto" w:fill="auto"/>
            <w:vAlign w:val="center"/>
            <w:hideMark/>
          </w:tcPr>
          <w:p w:rsidR="006D26DF" w:rsidRPr="006D26DF" w:rsidRDefault="006D26DF" w:rsidP="006D26DF">
            <w:pPr>
              <w:rPr>
                <w:sz w:val="16"/>
                <w:szCs w:val="16"/>
                <w:lang w:val="hr-HR"/>
              </w:rPr>
            </w:pPr>
            <w:r w:rsidRPr="006D26DF">
              <w:rPr>
                <w:sz w:val="16"/>
                <w:szCs w:val="16"/>
                <w:lang w:val="hr-HR"/>
              </w:rPr>
              <w:t> </w:t>
            </w:r>
          </w:p>
        </w:tc>
      </w:tr>
      <w:tr w:rsidR="006D26DF" w:rsidRPr="006D26DF" w:rsidTr="00964122">
        <w:trPr>
          <w:trHeight w:val="447"/>
        </w:trPr>
        <w:tc>
          <w:tcPr>
            <w:tcW w:w="2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26DF" w:rsidRPr="006D26DF" w:rsidRDefault="006D26DF" w:rsidP="006D26DF">
            <w:pPr>
              <w:jc w:val="center"/>
              <w:rPr>
                <w:b/>
                <w:bCs/>
                <w:sz w:val="16"/>
                <w:szCs w:val="16"/>
                <w:lang w:val="hr-HR"/>
              </w:rPr>
            </w:pPr>
            <w:r w:rsidRPr="006D26DF">
              <w:rPr>
                <w:b/>
                <w:bCs/>
                <w:sz w:val="16"/>
                <w:szCs w:val="16"/>
                <w:lang w:val="hr-HR"/>
              </w:rPr>
              <w:t>UKUPNO (1+6)</w:t>
            </w:r>
          </w:p>
        </w:tc>
        <w:tc>
          <w:tcPr>
            <w:tcW w:w="1197" w:type="dxa"/>
            <w:tcBorders>
              <w:top w:val="nil"/>
              <w:left w:val="nil"/>
              <w:bottom w:val="single" w:sz="4" w:space="0" w:color="auto"/>
              <w:right w:val="single" w:sz="4" w:space="0" w:color="auto"/>
            </w:tcBorders>
            <w:shd w:val="pct25" w:color="C0C0C0" w:fill="auto"/>
            <w:noWrap/>
            <w:vAlign w:val="center"/>
            <w:hideMark/>
          </w:tcPr>
          <w:p w:rsidR="006D26DF" w:rsidRPr="006D26DF" w:rsidRDefault="006D26DF" w:rsidP="006D26DF">
            <w:pPr>
              <w:jc w:val="center"/>
              <w:rPr>
                <w:b/>
                <w:bCs/>
                <w:sz w:val="16"/>
                <w:szCs w:val="16"/>
                <w:lang w:val="hr-HR"/>
              </w:rPr>
            </w:pPr>
            <w:r w:rsidRPr="006D26DF">
              <w:rPr>
                <w:b/>
                <w:bCs/>
                <w:sz w:val="16"/>
                <w:szCs w:val="16"/>
                <w:lang w:val="hr-HR"/>
              </w:rPr>
              <w:t>77.811,50 KN</w:t>
            </w:r>
          </w:p>
        </w:tc>
        <w:tc>
          <w:tcPr>
            <w:tcW w:w="1276" w:type="dxa"/>
            <w:gridSpan w:val="2"/>
            <w:tcBorders>
              <w:top w:val="nil"/>
              <w:left w:val="nil"/>
              <w:bottom w:val="single" w:sz="4" w:space="0" w:color="auto"/>
              <w:right w:val="single" w:sz="4" w:space="0" w:color="auto"/>
            </w:tcBorders>
            <w:shd w:val="pct25" w:color="C0C0C0" w:fill="auto"/>
            <w:noWrap/>
            <w:vAlign w:val="center"/>
            <w:hideMark/>
          </w:tcPr>
          <w:p w:rsidR="006D26DF" w:rsidRPr="006D26DF" w:rsidRDefault="006D26DF" w:rsidP="006D26DF">
            <w:pPr>
              <w:jc w:val="right"/>
              <w:rPr>
                <w:b/>
                <w:bCs/>
                <w:sz w:val="16"/>
                <w:szCs w:val="16"/>
                <w:lang w:val="hr-HR"/>
              </w:rPr>
            </w:pPr>
            <w:r w:rsidRPr="006D26DF">
              <w:rPr>
                <w:b/>
                <w:bCs/>
                <w:sz w:val="16"/>
                <w:szCs w:val="16"/>
                <w:lang w:val="hr-HR"/>
              </w:rPr>
              <w:t> </w:t>
            </w:r>
          </w:p>
        </w:tc>
        <w:tc>
          <w:tcPr>
            <w:tcW w:w="1042" w:type="dxa"/>
            <w:tcBorders>
              <w:top w:val="nil"/>
              <w:left w:val="nil"/>
              <w:bottom w:val="single" w:sz="4" w:space="0" w:color="auto"/>
              <w:right w:val="single" w:sz="4" w:space="0" w:color="auto"/>
            </w:tcBorders>
            <w:shd w:val="pct25" w:color="C0C0C0" w:fill="auto"/>
            <w:noWrap/>
            <w:vAlign w:val="center"/>
            <w:hideMark/>
          </w:tcPr>
          <w:p w:rsidR="006D26DF" w:rsidRPr="006D26DF" w:rsidRDefault="006D26DF" w:rsidP="006D26DF">
            <w:pPr>
              <w:jc w:val="right"/>
              <w:rPr>
                <w:b/>
                <w:bCs/>
                <w:sz w:val="16"/>
                <w:szCs w:val="16"/>
                <w:lang w:val="hr-HR"/>
              </w:rPr>
            </w:pPr>
            <w:r w:rsidRPr="006D26DF">
              <w:rPr>
                <w:b/>
                <w:bCs/>
                <w:sz w:val="16"/>
                <w:szCs w:val="16"/>
                <w:lang w:val="hr-HR"/>
              </w:rPr>
              <w:t> </w:t>
            </w:r>
          </w:p>
        </w:tc>
        <w:tc>
          <w:tcPr>
            <w:tcW w:w="989" w:type="dxa"/>
            <w:tcBorders>
              <w:top w:val="nil"/>
              <w:left w:val="nil"/>
              <w:bottom w:val="single" w:sz="4" w:space="0" w:color="auto"/>
              <w:right w:val="single" w:sz="4" w:space="0" w:color="auto"/>
            </w:tcBorders>
            <w:shd w:val="pct25" w:color="C0C0C0" w:fill="auto"/>
            <w:noWrap/>
            <w:vAlign w:val="center"/>
            <w:hideMark/>
          </w:tcPr>
          <w:p w:rsidR="006D26DF" w:rsidRPr="006D26DF" w:rsidRDefault="006D26DF" w:rsidP="006D26DF">
            <w:pPr>
              <w:jc w:val="right"/>
              <w:rPr>
                <w:b/>
                <w:bCs/>
                <w:sz w:val="16"/>
                <w:szCs w:val="16"/>
                <w:lang w:val="hr-HR"/>
              </w:rPr>
            </w:pPr>
            <w:r w:rsidRPr="006D26DF">
              <w:rPr>
                <w:b/>
                <w:bCs/>
                <w:sz w:val="16"/>
                <w:szCs w:val="16"/>
                <w:lang w:val="hr-HR"/>
              </w:rPr>
              <w:t> </w:t>
            </w:r>
          </w:p>
        </w:tc>
        <w:tc>
          <w:tcPr>
            <w:tcW w:w="2017" w:type="dxa"/>
            <w:gridSpan w:val="2"/>
            <w:tcBorders>
              <w:top w:val="single" w:sz="4" w:space="0" w:color="auto"/>
              <w:left w:val="nil"/>
              <w:bottom w:val="single" w:sz="4" w:space="0" w:color="auto"/>
              <w:right w:val="single" w:sz="4" w:space="0" w:color="auto"/>
            </w:tcBorders>
            <w:shd w:val="clear" w:color="000000" w:fill="C0C0C0"/>
            <w:vAlign w:val="center"/>
            <w:hideMark/>
          </w:tcPr>
          <w:p w:rsidR="006D26DF" w:rsidRPr="006D26DF" w:rsidRDefault="006D26DF" w:rsidP="006D26DF">
            <w:pPr>
              <w:jc w:val="center"/>
              <w:rPr>
                <w:sz w:val="16"/>
                <w:szCs w:val="16"/>
                <w:lang w:val="hr-HR"/>
              </w:rPr>
            </w:pPr>
            <w:r w:rsidRPr="006D26DF">
              <w:rPr>
                <w:sz w:val="16"/>
                <w:szCs w:val="16"/>
                <w:lang w:val="hr-HR"/>
              </w:rPr>
              <w:t> </w:t>
            </w:r>
          </w:p>
        </w:tc>
      </w:tr>
    </w:tbl>
    <w:p w:rsidR="00102002" w:rsidRDefault="00102002" w:rsidP="00A05FA4">
      <w:pPr>
        <w:jc w:val="both"/>
        <w:rPr>
          <w:szCs w:val="24"/>
          <w:lang w:val="hr-HR"/>
        </w:rPr>
      </w:pPr>
    </w:p>
    <w:p w:rsidR="00102002" w:rsidRDefault="00102002" w:rsidP="00A05FA4">
      <w:pPr>
        <w:jc w:val="both"/>
        <w:rPr>
          <w:szCs w:val="24"/>
          <w:lang w:val="hr-HR"/>
        </w:rPr>
      </w:pPr>
    </w:p>
    <w:p w:rsidR="00964122" w:rsidRDefault="00964122" w:rsidP="00A05FA4">
      <w:pPr>
        <w:jc w:val="both"/>
        <w:rPr>
          <w:szCs w:val="24"/>
          <w:lang w:val="hr-HR"/>
        </w:rPr>
      </w:pPr>
    </w:p>
    <w:p w:rsidR="00102002" w:rsidRDefault="00102002" w:rsidP="00A05FA4">
      <w:pPr>
        <w:jc w:val="both"/>
        <w:rPr>
          <w:szCs w:val="24"/>
          <w:lang w:val="hr-HR"/>
        </w:rPr>
      </w:pPr>
    </w:p>
    <w:p w:rsidR="00102002" w:rsidRDefault="00102002" w:rsidP="00A05FA4">
      <w:pPr>
        <w:jc w:val="both"/>
        <w:rPr>
          <w:szCs w:val="24"/>
          <w:lang w:val="hr-HR"/>
        </w:rPr>
      </w:pPr>
    </w:p>
    <w:p w:rsidR="00102002" w:rsidRPr="008600C0" w:rsidRDefault="00102002" w:rsidP="00A05FA4">
      <w:pPr>
        <w:jc w:val="both"/>
        <w:rPr>
          <w:szCs w:val="24"/>
          <w:lang w:val="hr-HR"/>
        </w:rPr>
      </w:pPr>
    </w:p>
    <w:tbl>
      <w:tblPr>
        <w:tblW w:w="9833" w:type="dxa"/>
        <w:tblLayout w:type="fixed"/>
        <w:tblCellMar>
          <w:left w:w="30" w:type="dxa"/>
          <w:right w:w="30" w:type="dxa"/>
        </w:tblCellMar>
        <w:tblLook w:val="0000" w:firstRow="0" w:lastRow="0" w:firstColumn="0" w:lastColumn="0" w:noHBand="0" w:noVBand="0"/>
      </w:tblPr>
      <w:tblGrid>
        <w:gridCol w:w="597"/>
        <w:gridCol w:w="886"/>
        <w:gridCol w:w="442"/>
        <w:gridCol w:w="1082"/>
        <w:gridCol w:w="1559"/>
        <w:gridCol w:w="993"/>
        <w:gridCol w:w="1417"/>
        <w:gridCol w:w="1090"/>
        <w:gridCol w:w="874"/>
        <w:gridCol w:w="893"/>
      </w:tblGrid>
      <w:tr w:rsidR="00BA7CC2" w:rsidRPr="008600C0" w:rsidTr="00DA164D">
        <w:trPr>
          <w:trHeight w:val="302"/>
        </w:trPr>
        <w:tc>
          <w:tcPr>
            <w:tcW w:w="597" w:type="dxa"/>
            <w:tcBorders>
              <w:top w:val="nil"/>
              <w:left w:val="nil"/>
              <w:bottom w:val="nil"/>
              <w:right w:val="nil"/>
            </w:tcBorders>
          </w:tcPr>
          <w:p w:rsidR="00BA7CC2" w:rsidRDefault="00BA7CC2" w:rsidP="00BA7CC2">
            <w:pPr>
              <w:autoSpaceDE w:val="0"/>
              <w:autoSpaceDN w:val="0"/>
              <w:adjustRightInd w:val="0"/>
              <w:jc w:val="right"/>
              <w:rPr>
                <w:rFonts w:eastAsiaTheme="minorHAnsi"/>
                <w:color w:val="000000"/>
                <w:sz w:val="22"/>
                <w:szCs w:val="22"/>
                <w:lang w:val="hr-HR" w:eastAsia="en-US"/>
              </w:rPr>
            </w:pPr>
          </w:p>
          <w:p w:rsidR="00716C37" w:rsidRPr="008600C0" w:rsidRDefault="00716C37" w:rsidP="00BA7CC2">
            <w:pPr>
              <w:autoSpaceDE w:val="0"/>
              <w:autoSpaceDN w:val="0"/>
              <w:adjustRightInd w:val="0"/>
              <w:jc w:val="right"/>
              <w:rPr>
                <w:rFonts w:eastAsiaTheme="minorHAnsi"/>
                <w:color w:val="000000"/>
                <w:sz w:val="22"/>
                <w:szCs w:val="22"/>
                <w:lang w:val="hr-HR" w:eastAsia="en-US"/>
              </w:rPr>
            </w:pPr>
          </w:p>
        </w:tc>
        <w:tc>
          <w:tcPr>
            <w:tcW w:w="3969" w:type="dxa"/>
            <w:gridSpan w:val="4"/>
            <w:tcBorders>
              <w:top w:val="nil"/>
              <w:left w:val="nil"/>
              <w:bottom w:val="nil"/>
              <w:right w:val="nil"/>
            </w:tcBorders>
          </w:tcPr>
          <w:p w:rsidR="00BA7CC2" w:rsidRPr="008600C0" w:rsidRDefault="00BA7CC2" w:rsidP="00BA7CC2">
            <w:pPr>
              <w:autoSpaceDE w:val="0"/>
              <w:autoSpaceDN w:val="0"/>
              <w:adjustRightInd w:val="0"/>
              <w:rPr>
                <w:rFonts w:eastAsiaTheme="minorHAnsi"/>
                <w:b/>
                <w:bCs/>
                <w:color w:val="000000"/>
                <w:szCs w:val="24"/>
                <w:lang w:val="hr-HR" w:eastAsia="en-US"/>
              </w:rPr>
            </w:pPr>
            <w:r w:rsidRPr="008600C0">
              <w:rPr>
                <w:rFonts w:eastAsiaTheme="minorHAnsi"/>
                <w:b/>
                <w:bCs/>
                <w:color w:val="000000"/>
                <w:szCs w:val="24"/>
                <w:lang w:val="hr-HR" w:eastAsia="en-US"/>
              </w:rPr>
              <w:t>Tablica 2: Popis sudskih sporova</w:t>
            </w:r>
          </w:p>
        </w:tc>
        <w:tc>
          <w:tcPr>
            <w:tcW w:w="993" w:type="dxa"/>
            <w:tcBorders>
              <w:top w:val="nil"/>
              <w:left w:val="nil"/>
              <w:bottom w:val="nil"/>
              <w:right w:val="nil"/>
            </w:tcBorders>
          </w:tcPr>
          <w:p w:rsidR="00BA7CC2" w:rsidRPr="008600C0" w:rsidRDefault="00BA7CC2" w:rsidP="00BA7CC2">
            <w:pPr>
              <w:autoSpaceDE w:val="0"/>
              <w:autoSpaceDN w:val="0"/>
              <w:adjustRightInd w:val="0"/>
              <w:rPr>
                <w:rFonts w:eastAsiaTheme="minorHAnsi"/>
                <w:b/>
                <w:bCs/>
                <w:color w:val="000000"/>
                <w:szCs w:val="24"/>
                <w:lang w:val="hr-HR" w:eastAsia="en-US"/>
              </w:rPr>
            </w:pPr>
          </w:p>
        </w:tc>
        <w:tc>
          <w:tcPr>
            <w:tcW w:w="1417" w:type="dxa"/>
            <w:tcBorders>
              <w:top w:val="nil"/>
              <w:left w:val="nil"/>
              <w:bottom w:val="nil"/>
              <w:right w:val="nil"/>
            </w:tcBorders>
          </w:tcPr>
          <w:p w:rsidR="00BA7CC2" w:rsidRPr="008600C0" w:rsidRDefault="00BA7CC2" w:rsidP="00BA7CC2">
            <w:pPr>
              <w:autoSpaceDE w:val="0"/>
              <w:autoSpaceDN w:val="0"/>
              <w:adjustRightInd w:val="0"/>
              <w:rPr>
                <w:rFonts w:eastAsiaTheme="minorHAnsi"/>
                <w:b/>
                <w:bCs/>
                <w:color w:val="000000"/>
                <w:szCs w:val="24"/>
                <w:lang w:val="hr-HR" w:eastAsia="en-US"/>
              </w:rPr>
            </w:pPr>
          </w:p>
        </w:tc>
        <w:tc>
          <w:tcPr>
            <w:tcW w:w="1090" w:type="dxa"/>
            <w:tcBorders>
              <w:top w:val="nil"/>
              <w:left w:val="nil"/>
              <w:bottom w:val="nil"/>
              <w:right w:val="nil"/>
            </w:tcBorders>
          </w:tcPr>
          <w:p w:rsidR="00BA7CC2" w:rsidRPr="008600C0" w:rsidRDefault="00BA7CC2" w:rsidP="00BA7CC2">
            <w:pPr>
              <w:autoSpaceDE w:val="0"/>
              <w:autoSpaceDN w:val="0"/>
              <w:adjustRightInd w:val="0"/>
              <w:rPr>
                <w:rFonts w:eastAsiaTheme="minorHAnsi"/>
                <w:b/>
                <w:bCs/>
                <w:color w:val="000000"/>
                <w:szCs w:val="24"/>
                <w:lang w:val="hr-HR" w:eastAsia="en-US"/>
              </w:rPr>
            </w:pPr>
          </w:p>
        </w:tc>
        <w:tc>
          <w:tcPr>
            <w:tcW w:w="874" w:type="dxa"/>
            <w:tcBorders>
              <w:top w:val="nil"/>
              <w:left w:val="nil"/>
              <w:bottom w:val="nil"/>
              <w:right w:val="nil"/>
            </w:tcBorders>
          </w:tcPr>
          <w:p w:rsidR="00BA7CC2" w:rsidRPr="008600C0" w:rsidRDefault="00BA7CC2" w:rsidP="00BA7CC2">
            <w:pPr>
              <w:autoSpaceDE w:val="0"/>
              <w:autoSpaceDN w:val="0"/>
              <w:adjustRightInd w:val="0"/>
              <w:rPr>
                <w:rFonts w:eastAsiaTheme="minorHAnsi"/>
                <w:b/>
                <w:bCs/>
                <w:color w:val="000000"/>
                <w:szCs w:val="24"/>
                <w:lang w:val="hr-HR" w:eastAsia="en-US"/>
              </w:rPr>
            </w:pPr>
          </w:p>
        </w:tc>
        <w:tc>
          <w:tcPr>
            <w:tcW w:w="893" w:type="dxa"/>
            <w:tcBorders>
              <w:top w:val="nil"/>
              <w:left w:val="nil"/>
              <w:bottom w:val="nil"/>
              <w:right w:val="nil"/>
            </w:tcBorders>
          </w:tcPr>
          <w:p w:rsidR="00BA7CC2" w:rsidRPr="008600C0" w:rsidRDefault="00BA7CC2" w:rsidP="00BA7CC2">
            <w:pPr>
              <w:autoSpaceDE w:val="0"/>
              <w:autoSpaceDN w:val="0"/>
              <w:adjustRightInd w:val="0"/>
              <w:rPr>
                <w:rFonts w:eastAsiaTheme="minorHAnsi"/>
                <w:b/>
                <w:bCs/>
                <w:color w:val="000000"/>
                <w:szCs w:val="24"/>
                <w:lang w:val="hr-HR" w:eastAsia="en-US"/>
              </w:rPr>
            </w:pPr>
          </w:p>
        </w:tc>
      </w:tr>
      <w:tr w:rsidR="00BA7CC2" w:rsidRPr="008600C0" w:rsidTr="00DA164D">
        <w:trPr>
          <w:trHeight w:val="1032"/>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p>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Red.</w:t>
            </w:r>
          </w:p>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br.</w:t>
            </w:r>
          </w:p>
        </w:tc>
        <w:tc>
          <w:tcPr>
            <w:tcW w:w="886" w:type="dxa"/>
            <w:tcBorders>
              <w:top w:val="single" w:sz="6" w:space="0" w:color="auto"/>
              <w:left w:val="single" w:sz="6" w:space="0" w:color="auto"/>
              <w:bottom w:val="nil"/>
              <w:right w:val="single" w:sz="6" w:space="0" w:color="auto"/>
            </w:tcBorders>
            <w:shd w:val="solid" w:color="C0C0C0" w:fill="auto"/>
          </w:tcPr>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p>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Tuženik</w:t>
            </w:r>
          </w:p>
        </w:tc>
        <w:tc>
          <w:tcPr>
            <w:tcW w:w="1524" w:type="dxa"/>
            <w:gridSpan w:val="2"/>
            <w:tcBorders>
              <w:top w:val="single" w:sz="6" w:space="0" w:color="auto"/>
              <w:left w:val="single" w:sz="6" w:space="0" w:color="auto"/>
              <w:bottom w:val="nil"/>
              <w:right w:val="single" w:sz="6" w:space="0" w:color="auto"/>
            </w:tcBorders>
            <w:shd w:val="solid" w:color="C0C0C0" w:fill="auto"/>
          </w:tcPr>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p>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Tužitelj</w:t>
            </w:r>
          </w:p>
        </w:tc>
        <w:tc>
          <w:tcPr>
            <w:tcW w:w="1559" w:type="dxa"/>
            <w:tcBorders>
              <w:top w:val="single" w:sz="6" w:space="0" w:color="auto"/>
              <w:left w:val="single" w:sz="6" w:space="0" w:color="auto"/>
              <w:bottom w:val="nil"/>
              <w:right w:val="single" w:sz="6" w:space="0" w:color="auto"/>
            </w:tcBorders>
            <w:shd w:val="solid" w:color="C0C0C0" w:fill="auto"/>
          </w:tcPr>
          <w:p w:rsidR="00DA164D" w:rsidRPr="008600C0" w:rsidRDefault="00DA164D" w:rsidP="00DA164D">
            <w:pPr>
              <w:jc w:val="center"/>
              <w:rPr>
                <w:b/>
                <w:bCs/>
                <w:sz w:val="22"/>
                <w:szCs w:val="22"/>
              </w:rPr>
            </w:pPr>
            <w:r w:rsidRPr="008600C0">
              <w:rPr>
                <w:b/>
                <w:bCs/>
                <w:sz w:val="22"/>
                <w:szCs w:val="22"/>
              </w:rPr>
              <w:t>Sažeti</w:t>
            </w:r>
          </w:p>
          <w:p w:rsidR="00DA164D" w:rsidRPr="008600C0" w:rsidRDefault="00DA164D" w:rsidP="00DA164D">
            <w:pPr>
              <w:jc w:val="center"/>
              <w:rPr>
                <w:b/>
                <w:bCs/>
                <w:sz w:val="22"/>
                <w:szCs w:val="22"/>
              </w:rPr>
            </w:pPr>
            <w:r w:rsidRPr="008600C0">
              <w:rPr>
                <w:b/>
                <w:bCs/>
                <w:sz w:val="22"/>
                <w:szCs w:val="22"/>
              </w:rPr>
              <w:t>opis</w:t>
            </w:r>
            <w:r w:rsidRPr="008600C0">
              <w:rPr>
                <w:b/>
                <w:bCs/>
                <w:sz w:val="22"/>
                <w:szCs w:val="22"/>
              </w:rPr>
              <w:br/>
              <w:t>prirode</w:t>
            </w:r>
          </w:p>
          <w:p w:rsidR="00BA7CC2" w:rsidRPr="008600C0" w:rsidRDefault="00DA164D" w:rsidP="00DA164D">
            <w:pPr>
              <w:jc w:val="center"/>
              <w:rPr>
                <w:rFonts w:eastAsiaTheme="minorHAnsi"/>
                <w:b/>
                <w:bCs/>
                <w:color w:val="000000"/>
                <w:sz w:val="22"/>
                <w:szCs w:val="22"/>
                <w:lang w:val="hr-HR" w:eastAsia="en-US"/>
              </w:rPr>
            </w:pPr>
            <w:r w:rsidRPr="008600C0">
              <w:rPr>
                <w:b/>
                <w:bCs/>
                <w:sz w:val="22"/>
                <w:szCs w:val="22"/>
              </w:rPr>
              <w:t xml:space="preserve"> spora</w:t>
            </w:r>
          </w:p>
        </w:tc>
        <w:tc>
          <w:tcPr>
            <w:tcW w:w="993" w:type="dxa"/>
            <w:tcBorders>
              <w:top w:val="single" w:sz="6" w:space="0" w:color="auto"/>
              <w:left w:val="single" w:sz="6" w:space="0" w:color="auto"/>
              <w:bottom w:val="nil"/>
              <w:right w:val="single" w:sz="6" w:space="0" w:color="auto"/>
            </w:tcBorders>
            <w:shd w:val="solid" w:color="C0C0C0" w:fill="auto"/>
          </w:tcPr>
          <w:p w:rsidR="00DA164D" w:rsidRPr="008600C0" w:rsidRDefault="00DA164D" w:rsidP="00DA164D">
            <w:pPr>
              <w:autoSpaceDE w:val="0"/>
              <w:autoSpaceDN w:val="0"/>
              <w:adjustRightInd w:val="0"/>
              <w:jc w:val="center"/>
              <w:rPr>
                <w:rFonts w:eastAsiaTheme="minorHAnsi"/>
                <w:b/>
                <w:bCs/>
                <w:color w:val="000000"/>
                <w:sz w:val="22"/>
                <w:szCs w:val="22"/>
                <w:lang w:val="hr-HR" w:eastAsia="en-US"/>
              </w:rPr>
            </w:pPr>
          </w:p>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Iznos glavnice</w:t>
            </w:r>
          </w:p>
        </w:tc>
        <w:tc>
          <w:tcPr>
            <w:tcW w:w="1417" w:type="dxa"/>
            <w:tcBorders>
              <w:top w:val="single" w:sz="6" w:space="0" w:color="auto"/>
              <w:left w:val="single" w:sz="6" w:space="0" w:color="auto"/>
              <w:bottom w:val="nil"/>
              <w:right w:val="single" w:sz="6" w:space="0" w:color="auto"/>
            </w:tcBorders>
            <w:shd w:val="solid" w:color="C0C0C0" w:fill="auto"/>
          </w:tcPr>
          <w:p w:rsidR="00DA164D" w:rsidRPr="008600C0" w:rsidRDefault="00DA164D" w:rsidP="00DA164D">
            <w:pPr>
              <w:autoSpaceDE w:val="0"/>
              <w:autoSpaceDN w:val="0"/>
              <w:adjustRightInd w:val="0"/>
              <w:jc w:val="center"/>
              <w:rPr>
                <w:rFonts w:eastAsiaTheme="minorHAnsi"/>
                <w:b/>
                <w:bCs/>
                <w:color w:val="000000"/>
                <w:sz w:val="22"/>
                <w:szCs w:val="22"/>
                <w:lang w:val="hr-HR" w:eastAsia="en-US"/>
              </w:rPr>
            </w:pPr>
          </w:p>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Procjena financijskog učinka</w:t>
            </w:r>
          </w:p>
        </w:tc>
        <w:tc>
          <w:tcPr>
            <w:tcW w:w="1090" w:type="dxa"/>
            <w:tcBorders>
              <w:top w:val="single" w:sz="6" w:space="0" w:color="auto"/>
              <w:left w:val="single" w:sz="6" w:space="0" w:color="auto"/>
              <w:bottom w:val="nil"/>
              <w:right w:val="single" w:sz="6" w:space="0" w:color="auto"/>
            </w:tcBorders>
            <w:shd w:val="solid" w:color="C0C0C0" w:fill="auto"/>
          </w:tcPr>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Procijenjeno vrijeme odljeva ili priljeva sredstava</w:t>
            </w:r>
          </w:p>
        </w:tc>
        <w:tc>
          <w:tcPr>
            <w:tcW w:w="874" w:type="dxa"/>
            <w:tcBorders>
              <w:top w:val="single" w:sz="6" w:space="0" w:color="auto"/>
              <w:left w:val="single" w:sz="6" w:space="0" w:color="auto"/>
              <w:bottom w:val="nil"/>
              <w:right w:val="single" w:sz="6" w:space="0" w:color="auto"/>
            </w:tcBorders>
            <w:shd w:val="solid" w:color="C0C0C0" w:fill="auto"/>
          </w:tcPr>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Početak sudskog spora</w:t>
            </w:r>
          </w:p>
        </w:tc>
        <w:tc>
          <w:tcPr>
            <w:tcW w:w="893" w:type="dxa"/>
            <w:tcBorders>
              <w:top w:val="single" w:sz="6" w:space="0" w:color="auto"/>
              <w:left w:val="single" w:sz="6" w:space="0" w:color="auto"/>
              <w:bottom w:val="nil"/>
              <w:right w:val="single" w:sz="6" w:space="0" w:color="auto"/>
            </w:tcBorders>
            <w:shd w:val="solid" w:color="C0C0C0" w:fill="auto"/>
          </w:tcPr>
          <w:p w:rsidR="00BA7CC2" w:rsidRPr="008600C0" w:rsidRDefault="00BA7CC2" w:rsidP="00DA164D">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Napomena</w:t>
            </w:r>
          </w:p>
        </w:tc>
      </w:tr>
      <w:tr w:rsidR="00BA7CC2" w:rsidRPr="008600C0" w:rsidTr="00DA164D">
        <w:trPr>
          <w:trHeight w:val="206"/>
        </w:trPr>
        <w:tc>
          <w:tcPr>
            <w:tcW w:w="597"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1</w:t>
            </w:r>
          </w:p>
        </w:tc>
        <w:tc>
          <w:tcPr>
            <w:tcW w:w="886"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2</w:t>
            </w:r>
          </w:p>
        </w:tc>
        <w:tc>
          <w:tcPr>
            <w:tcW w:w="442" w:type="dxa"/>
            <w:tcBorders>
              <w:top w:val="single" w:sz="6" w:space="0" w:color="auto"/>
              <w:left w:val="single" w:sz="6" w:space="0" w:color="auto"/>
              <w:bottom w:val="single" w:sz="6" w:space="0" w:color="auto"/>
              <w:right w:val="nil"/>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3</w:t>
            </w:r>
          </w:p>
        </w:tc>
        <w:tc>
          <w:tcPr>
            <w:tcW w:w="1082" w:type="dxa"/>
            <w:tcBorders>
              <w:top w:val="single" w:sz="6" w:space="0" w:color="auto"/>
              <w:left w:val="nil"/>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p>
        </w:tc>
        <w:tc>
          <w:tcPr>
            <w:tcW w:w="1559"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4</w:t>
            </w:r>
          </w:p>
        </w:tc>
        <w:tc>
          <w:tcPr>
            <w:tcW w:w="993"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5</w:t>
            </w:r>
          </w:p>
        </w:tc>
        <w:tc>
          <w:tcPr>
            <w:tcW w:w="1417"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6</w:t>
            </w:r>
          </w:p>
        </w:tc>
        <w:tc>
          <w:tcPr>
            <w:tcW w:w="1090"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p>
        </w:tc>
        <w:tc>
          <w:tcPr>
            <w:tcW w:w="874"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p>
        </w:tc>
        <w:tc>
          <w:tcPr>
            <w:tcW w:w="893" w:type="dxa"/>
            <w:tcBorders>
              <w:top w:val="single" w:sz="6" w:space="0" w:color="auto"/>
              <w:left w:val="single" w:sz="6" w:space="0" w:color="auto"/>
              <w:bottom w:val="single" w:sz="6" w:space="0" w:color="auto"/>
              <w:right w:val="single" w:sz="6" w:space="0" w:color="auto"/>
            </w:tcBorders>
            <w:shd w:val="solid" w:color="808080" w:fill="auto"/>
          </w:tcPr>
          <w:p w:rsidR="00BA7CC2" w:rsidRPr="008600C0" w:rsidRDefault="00BA7CC2" w:rsidP="00BA7CC2">
            <w:pPr>
              <w:autoSpaceDE w:val="0"/>
              <w:autoSpaceDN w:val="0"/>
              <w:adjustRightInd w:val="0"/>
              <w:jc w:val="center"/>
              <w:rPr>
                <w:rFonts w:eastAsiaTheme="minorHAnsi"/>
                <w:b/>
                <w:bCs/>
                <w:color w:val="FFFFFF"/>
                <w:sz w:val="22"/>
                <w:szCs w:val="22"/>
                <w:lang w:val="hr-HR" w:eastAsia="en-US"/>
              </w:rPr>
            </w:pPr>
            <w:r w:rsidRPr="008600C0">
              <w:rPr>
                <w:rFonts w:eastAsiaTheme="minorHAnsi"/>
                <w:b/>
                <w:bCs/>
                <w:color w:val="FFFFFF"/>
                <w:sz w:val="22"/>
                <w:szCs w:val="22"/>
                <w:lang w:val="hr-HR" w:eastAsia="en-US"/>
              </w:rPr>
              <w:t>7=4+5-6</w:t>
            </w:r>
          </w:p>
        </w:tc>
      </w:tr>
      <w:tr w:rsidR="00BA7CC2" w:rsidRPr="008600C0" w:rsidTr="00DA164D">
        <w:trPr>
          <w:trHeight w:val="206"/>
        </w:trPr>
        <w:tc>
          <w:tcPr>
            <w:tcW w:w="597" w:type="dxa"/>
            <w:tcBorders>
              <w:top w:val="single" w:sz="6" w:space="0" w:color="auto"/>
              <w:left w:val="single" w:sz="6" w:space="0" w:color="auto"/>
              <w:bottom w:val="nil"/>
              <w:right w:val="single" w:sz="6" w:space="0" w:color="auto"/>
            </w:tcBorders>
          </w:tcPr>
          <w:p w:rsidR="00BA7CC2" w:rsidRPr="008600C0" w:rsidRDefault="00BA7CC2" w:rsidP="00BA7CC2">
            <w:pPr>
              <w:autoSpaceDE w:val="0"/>
              <w:autoSpaceDN w:val="0"/>
              <w:adjustRightInd w:val="0"/>
              <w:jc w:val="center"/>
              <w:rPr>
                <w:rFonts w:eastAsiaTheme="minorHAnsi"/>
                <w:b/>
                <w:bCs/>
                <w:color w:val="000000"/>
                <w:sz w:val="22"/>
                <w:szCs w:val="22"/>
                <w:lang w:val="hr-HR" w:eastAsia="en-US"/>
              </w:rPr>
            </w:pPr>
            <w:r w:rsidRPr="008600C0">
              <w:rPr>
                <w:rFonts w:eastAsiaTheme="minorHAnsi"/>
                <w:b/>
                <w:bCs/>
                <w:color w:val="000000"/>
                <w:sz w:val="22"/>
                <w:szCs w:val="22"/>
                <w:lang w:val="hr-HR" w:eastAsia="en-US"/>
              </w:rPr>
              <w:t>1</w:t>
            </w:r>
          </w:p>
        </w:tc>
        <w:tc>
          <w:tcPr>
            <w:tcW w:w="886" w:type="dxa"/>
            <w:tcBorders>
              <w:top w:val="single" w:sz="6" w:space="0" w:color="auto"/>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center"/>
              <w:rPr>
                <w:rFonts w:eastAsiaTheme="minorHAnsi"/>
                <w:color w:val="000000"/>
                <w:sz w:val="22"/>
                <w:szCs w:val="22"/>
                <w:lang w:val="hr-HR" w:eastAsia="en-US"/>
              </w:rPr>
            </w:pPr>
          </w:p>
        </w:tc>
        <w:tc>
          <w:tcPr>
            <w:tcW w:w="442"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center"/>
              <w:rPr>
                <w:rFonts w:eastAsiaTheme="minorHAnsi"/>
                <w:color w:val="000000"/>
                <w:sz w:val="22"/>
                <w:szCs w:val="22"/>
                <w:lang w:val="hr-HR" w:eastAsia="en-US"/>
              </w:rPr>
            </w:pPr>
          </w:p>
        </w:tc>
        <w:tc>
          <w:tcPr>
            <w:tcW w:w="1082"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1559"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993"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1417"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1090"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874"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893" w:type="dxa"/>
            <w:tcBorders>
              <w:top w:val="single" w:sz="6" w:space="0" w:color="auto"/>
              <w:left w:val="single" w:sz="6" w:space="0" w:color="auto"/>
              <w:bottom w:val="single" w:sz="2"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r>
      <w:tr w:rsidR="00BA7CC2" w:rsidRPr="008600C0" w:rsidTr="00DA164D">
        <w:trPr>
          <w:trHeight w:val="206"/>
        </w:trPr>
        <w:tc>
          <w:tcPr>
            <w:tcW w:w="597" w:type="dxa"/>
            <w:tcBorders>
              <w:top w:val="nil"/>
              <w:left w:val="single" w:sz="6" w:space="0" w:color="auto"/>
              <w:bottom w:val="nil"/>
              <w:right w:val="single" w:sz="6" w:space="0" w:color="auto"/>
            </w:tcBorders>
          </w:tcPr>
          <w:p w:rsidR="00BA7CC2" w:rsidRPr="008600C0" w:rsidRDefault="00BA7CC2" w:rsidP="00BA7CC2">
            <w:pPr>
              <w:autoSpaceDE w:val="0"/>
              <w:autoSpaceDN w:val="0"/>
              <w:adjustRightInd w:val="0"/>
              <w:jc w:val="center"/>
              <w:rPr>
                <w:rFonts w:eastAsiaTheme="minorHAnsi"/>
                <w:b/>
                <w:bCs/>
                <w:color w:val="000000"/>
                <w:sz w:val="22"/>
                <w:szCs w:val="22"/>
                <w:lang w:val="hr-HR" w:eastAsia="en-US"/>
              </w:rPr>
            </w:pPr>
          </w:p>
        </w:tc>
        <w:tc>
          <w:tcPr>
            <w:tcW w:w="886" w:type="dxa"/>
            <w:tcBorders>
              <w:top w:val="single" w:sz="6" w:space="0" w:color="auto"/>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center"/>
              <w:rPr>
                <w:rFonts w:eastAsiaTheme="minorHAnsi"/>
                <w:color w:val="000000"/>
                <w:sz w:val="22"/>
                <w:szCs w:val="22"/>
                <w:lang w:val="hr-HR" w:eastAsia="en-US"/>
              </w:rPr>
            </w:pPr>
          </w:p>
        </w:tc>
        <w:tc>
          <w:tcPr>
            <w:tcW w:w="442"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center"/>
              <w:rPr>
                <w:rFonts w:eastAsiaTheme="minorHAnsi"/>
                <w:color w:val="000000"/>
                <w:sz w:val="22"/>
                <w:szCs w:val="22"/>
                <w:lang w:val="hr-HR" w:eastAsia="en-US"/>
              </w:rPr>
            </w:pPr>
          </w:p>
        </w:tc>
        <w:tc>
          <w:tcPr>
            <w:tcW w:w="1082"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1559"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993"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1417"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1090"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874"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c>
          <w:tcPr>
            <w:tcW w:w="893"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right"/>
              <w:rPr>
                <w:rFonts w:eastAsiaTheme="minorHAnsi"/>
                <w:color w:val="000000"/>
                <w:sz w:val="22"/>
                <w:szCs w:val="22"/>
                <w:lang w:val="hr-HR" w:eastAsia="en-US"/>
              </w:rPr>
            </w:pPr>
          </w:p>
        </w:tc>
      </w:tr>
      <w:tr w:rsidR="00BA7CC2" w:rsidRPr="008600C0" w:rsidTr="00DA164D">
        <w:trPr>
          <w:trHeight w:val="206"/>
        </w:trPr>
        <w:tc>
          <w:tcPr>
            <w:tcW w:w="597" w:type="dxa"/>
            <w:tcBorders>
              <w:top w:val="nil"/>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center"/>
              <w:rPr>
                <w:rFonts w:eastAsiaTheme="minorHAnsi"/>
                <w:b/>
                <w:bCs/>
                <w:color w:val="000000"/>
                <w:sz w:val="22"/>
                <w:szCs w:val="22"/>
                <w:lang w:val="hr-HR" w:eastAsia="en-US"/>
              </w:rPr>
            </w:pPr>
          </w:p>
        </w:tc>
        <w:tc>
          <w:tcPr>
            <w:tcW w:w="886" w:type="dxa"/>
            <w:tcBorders>
              <w:top w:val="single" w:sz="6" w:space="0" w:color="auto"/>
              <w:left w:val="single" w:sz="6" w:space="0" w:color="auto"/>
              <w:bottom w:val="single" w:sz="6" w:space="0" w:color="auto"/>
              <w:right w:val="single" w:sz="6" w:space="0" w:color="auto"/>
            </w:tcBorders>
          </w:tcPr>
          <w:p w:rsidR="00BA7CC2" w:rsidRPr="008600C0" w:rsidRDefault="00BA7CC2" w:rsidP="00BA7CC2">
            <w:pPr>
              <w:autoSpaceDE w:val="0"/>
              <w:autoSpaceDN w:val="0"/>
              <w:adjustRightInd w:val="0"/>
              <w:jc w:val="center"/>
              <w:rPr>
                <w:rFonts w:eastAsiaTheme="minorHAnsi"/>
                <w:color w:val="000000"/>
                <w:sz w:val="22"/>
                <w:szCs w:val="22"/>
                <w:lang w:val="hr-HR" w:eastAsia="en-US"/>
              </w:rPr>
            </w:pPr>
          </w:p>
        </w:tc>
        <w:tc>
          <w:tcPr>
            <w:tcW w:w="442" w:type="dxa"/>
            <w:tcBorders>
              <w:top w:val="single" w:sz="6" w:space="0" w:color="auto"/>
              <w:left w:val="single" w:sz="6" w:space="0" w:color="auto"/>
              <w:bottom w:val="single" w:sz="6" w:space="0" w:color="auto"/>
              <w:right w:val="nil"/>
            </w:tcBorders>
          </w:tcPr>
          <w:p w:rsidR="00BA7CC2" w:rsidRPr="008600C0" w:rsidRDefault="00BA7CC2" w:rsidP="00BA7CC2">
            <w:pPr>
              <w:autoSpaceDE w:val="0"/>
              <w:autoSpaceDN w:val="0"/>
              <w:adjustRightInd w:val="0"/>
              <w:jc w:val="center"/>
              <w:rPr>
                <w:rFonts w:eastAsiaTheme="minorHAnsi"/>
                <w:b/>
                <w:bCs/>
                <w:color w:val="000000"/>
                <w:sz w:val="22"/>
                <w:szCs w:val="22"/>
                <w:lang w:val="hr-HR" w:eastAsia="en-US"/>
              </w:rPr>
            </w:pPr>
          </w:p>
        </w:tc>
        <w:tc>
          <w:tcPr>
            <w:tcW w:w="1082" w:type="dxa"/>
            <w:tcBorders>
              <w:top w:val="single" w:sz="6" w:space="0" w:color="auto"/>
              <w:left w:val="nil"/>
              <w:bottom w:val="single" w:sz="6" w:space="0" w:color="auto"/>
              <w:right w:val="single" w:sz="6" w:space="0" w:color="auto"/>
            </w:tcBorders>
          </w:tcPr>
          <w:p w:rsidR="00BA7CC2" w:rsidRPr="008600C0" w:rsidRDefault="00BA7CC2" w:rsidP="00BA7CC2">
            <w:pPr>
              <w:autoSpaceDE w:val="0"/>
              <w:autoSpaceDN w:val="0"/>
              <w:adjustRightInd w:val="0"/>
              <w:jc w:val="center"/>
              <w:rPr>
                <w:rFonts w:eastAsiaTheme="minorHAnsi"/>
                <w:b/>
                <w:bCs/>
                <w:color w:val="000000"/>
                <w:sz w:val="22"/>
                <w:szCs w:val="22"/>
                <w:lang w:val="hr-HR" w:eastAsia="en-US"/>
              </w:rPr>
            </w:pPr>
          </w:p>
        </w:tc>
        <w:tc>
          <w:tcPr>
            <w:tcW w:w="1559" w:type="dxa"/>
            <w:tcBorders>
              <w:top w:val="single" w:sz="6" w:space="0" w:color="auto"/>
              <w:left w:val="single" w:sz="6" w:space="0" w:color="auto"/>
              <w:bottom w:val="single" w:sz="6" w:space="0" w:color="auto"/>
              <w:right w:val="single" w:sz="6" w:space="0" w:color="auto"/>
            </w:tcBorders>
            <w:shd w:val="pct25" w:color="auto" w:fill="FFFFFF"/>
          </w:tcPr>
          <w:p w:rsidR="00BA7CC2" w:rsidRPr="008600C0" w:rsidRDefault="00BA7CC2" w:rsidP="00BA7CC2">
            <w:pPr>
              <w:autoSpaceDE w:val="0"/>
              <w:autoSpaceDN w:val="0"/>
              <w:adjustRightInd w:val="0"/>
              <w:jc w:val="right"/>
              <w:rPr>
                <w:rFonts w:eastAsiaTheme="minorHAnsi"/>
                <w:b/>
                <w:bCs/>
                <w:color w:val="000000"/>
                <w:sz w:val="22"/>
                <w:szCs w:val="22"/>
                <w:lang w:val="hr-HR" w:eastAsia="en-US"/>
              </w:rPr>
            </w:pPr>
          </w:p>
        </w:tc>
        <w:tc>
          <w:tcPr>
            <w:tcW w:w="993" w:type="dxa"/>
            <w:tcBorders>
              <w:top w:val="single" w:sz="6" w:space="0" w:color="auto"/>
              <w:left w:val="single" w:sz="6" w:space="0" w:color="auto"/>
              <w:bottom w:val="single" w:sz="6" w:space="0" w:color="auto"/>
              <w:right w:val="single" w:sz="6" w:space="0" w:color="auto"/>
            </w:tcBorders>
            <w:shd w:val="pct25" w:color="auto" w:fill="FFFFFF"/>
          </w:tcPr>
          <w:p w:rsidR="00BA7CC2" w:rsidRPr="008600C0" w:rsidRDefault="00BA7CC2" w:rsidP="00BA7CC2">
            <w:pPr>
              <w:autoSpaceDE w:val="0"/>
              <w:autoSpaceDN w:val="0"/>
              <w:adjustRightInd w:val="0"/>
              <w:jc w:val="right"/>
              <w:rPr>
                <w:rFonts w:eastAsiaTheme="minorHAnsi"/>
                <w:b/>
                <w:bCs/>
                <w:color w:val="000000"/>
                <w:sz w:val="22"/>
                <w:szCs w:val="22"/>
                <w:lang w:val="hr-HR" w:eastAsia="en-US"/>
              </w:rPr>
            </w:pPr>
          </w:p>
        </w:tc>
        <w:tc>
          <w:tcPr>
            <w:tcW w:w="1417" w:type="dxa"/>
            <w:tcBorders>
              <w:top w:val="single" w:sz="6" w:space="0" w:color="auto"/>
              <w:left w:val="single" w:sz="6" w:space="0" w:color="auto"/>
              <w:bottom w:val="single" w:sz="6" w:space="0" w:color="auto"/>
              <w:right w:val="single" w:sz="6" w:space="0" w:color="auto"/>
            </w:tcBorders>
            <w:shd w:val="pct25" w:color="auto" w:fill="FFFFFF"/>
          </w:tcPr>
          <w:p w:rsidR="00BA7CC2" w:rsidRPr="008600C0" w:rsidRDefault="00BA7CC2" w:rsidP="00BA7CC2">
            <w:pPr>
              <w:autoSpaceDE w:val="0"/>
              <w:autoSpaceDN w:val="0"/>
              <w:adjustRightInd w:val="0"/>
              <w:jc w:val="right"/>
              <w:rPr>
                <w:rFonts w:eastAsiaTheme="minorHAnsi"/>
                <w:b/>
                <w:bCs/>
                <w:color w:val="000000"/>
                <w:sz w:val="22"/>
                <w:szCs w:val="22"/>
                <w:lang w:val="hr-HR" w:eastAsia="en-US"/>
              </w:rPr>
            </w:pPr>
          </w:p>
        </w:tc>
        <w:tc>
          <w:tcPr>
            <w:tcW w:w="1090" w:type="dxa"/>
            <w:tcBorders>
              <w:top w:val="single" w:sz="6" w:space="0" w:color="auto"/>
              <w:left w:val="single" w:sz="6" w:space="0" w:color="auto"/>
              <w:bottom w:val="single" w:sz="6" w:space="0" w:color="auto"/>
              <w:right w:val="single" w:sz="6" w:space="0" w:color="auto"/>
            </w:tcBorders>
            <w:shd w:val="pct25" w:color="auto" w:fill="FFFFFF"/>
          </w:tcPr>
          <w:p w:rsidR="00BA7CC2" w:rsidRPr="008600C0" w:rsidRDefault="00BA7CC2" w:rsidP="00BA7CC2">
            <w:pPr>
              <w:autoSpaceDE w:val="0"/>
              <w:autoSpaceDN w:val="0"/>
              <w:adjustRightInd w:val="0"/>
              <w:jc w:val="right"/>
              <w:rPr>
                <w:rFonts w:eastAsiaTheme="minorHAnsi"/>
                <w:b/>
                <w:bCs/>
                <w:color w:val="000000"/>
                <w:sz w:val="22"/>
                <w:szCs w:val="22"/>
                <w:lang w:val="hr-HR" w:eastAsia="en-US"/>
              </w:rPr>
            </w:pPr>
          </w:p>
        </w:tc>
        <w:tc>
          <w:tcPr>
            <w:tcW w:w="874" w:type="dxa"/>
            <w:tcBorders>
              <w:top w:val="single" w:sz="6" w:space="0" w:color="auto"/>
              <w:left w:val="single" w:sz="6" w:space="0" w:color="auto"/>
              <w:bottom w:val="single" w:sz="6" w:space="0" w:color="auto"/>
              <w:right w:val="single" w:sz="6" w:space="0" w:color="auto"/>
            </w:tcBorders>
            <w:shd w:val="pct25" w:color="auto" w:fill="FFFFFF"/>
          </w:tcPr>
          <w:p w:rsidR="00BA7CC2" w:rsidRPr="008600C0" w:rsidRDefault="00BA7CC2" w:rsidP="00BA7CC2">
            <w:pPr>
              <w:autoSpaceDE w:val="0"/>
              <w:autoSpaceDN w:val="0"/>
              <w:adjustRightInd w:val="0"/>
              <w:jc w:val="right"/>
              <w:rPr>
                <w:rFonts w:eastAsiaTheme="minorHAnsi"/>
                <w:b/>
                <w:bCs/>
                <w:color w:val="000000"/>
                <w:sz w:val="22"/>
                <w:szCs w:val="22"/>
                <w:lang w:val="hr-HR" w:eastAsia="en-US"/>
              </w:rPr>
            </w:pPr>
          </w:p>
        </w:tc>
        <w:tc>
          <w:tcPr>
            <w:tcW w:w="893" w:type="dxa"/>
            <w:tcBorders>
              <w:top w:val="single" w:sz="6" w:space="0" w:color="auto"/>
              <w:left w:val="single" w:sz="6" w:space="0" w:color="auto"/>
              <w:bottom w:val="single" w:sz="6" w:space="0" w:color="auto"/>
              <w:right w:val="single" w:sz="6" w:space="0" w:color="auto"/>
            </w:tcBorders>
            <w:shd w:val="pct25" w:color="auto" w:fill="FFFFFF"/>
          </w:tcPr>
          <w:p w:rsidR="00BA7CC2" w:rsidRPr="008600C0" w:rsidRDefault="00BA7CC2" w:rsidP="00BA7CC2">
            <w:pPr>
              <w:autoSpaceDE w:val="0"/>
              <w:autoSpaceDN w:val="0"/>
              <w:adjustRightInd w:val="0"/>
              <w:jc w:val="right"/>
              <w:rPr>
                <w:rFonts w:eastAsiaTheme="minorHAnsi"/>
                <w:b/>
                <w:bCs/>
                <w:color w:val="000000"/>
                <w:sz w:val="22"/>
                <w:szCs w:val="22"/>
                <w:lang w:val="hr-HR" w:eastAsia="en-US"/>
              </w:rPr>
            </w:pPr>
          </w:p>
        </w:tc>
      </w:tr>
      <w:tr w:rsidR="00BA7CC2" w:rsidRPr="00FE6FF9" w:rsidTr="00DA164D">
        <w:trPr>
          <w:trHeight w:val="206"/>
        </w:trPr>
        <w:tc>
          <w:tcPr>
            <w:tcW w:w="597" w:type="dxa"/>
            <w:tcBorders>
              <w:top w:val="single" w:sz="6" w:space="0" w:color="auto"/>
              <w:left w:val="single" w:sz="6" w:space="0" w:color="auto"/>
              <w:bottom w:val="nil"/>
              <w:right w:val="single" w:sz="6" w:space="0" w:color="auto"/>
            </w:tcBorders>
          </w:tcPr>
          <w:p w:rsidR="00BA7CC2" w:rsidRPr="00FE6FF9" w:rsidRDefault="00BA7CC2" w:rsidP="00BA7CC2">
            <w:pPr>
              <w:autoSpaceDE w:val="0"/>
              <w:autoSpaceDN w:val="0"/>
              <w:adjustRightInd w:val="0"/>
              <w:jc w:val="center"/>
              <w:rPr>
                <w:rFonts w:eastAsiaTheme="minorHAnsi"/>
                <w:b/>
                <w:bCs/>
                <w:color w:val="000000"/>
                <w:sz w:val="22"/>
                <w:szCs w:val="22"/>
                <w:lang w:val="hr-HR" w:eastAsia="en-US"/>
              </w:rPr>
            </w:pPr>
            <w:r w:rsidRPr="00FE6FF9">
              <w:rPr>
                <w:rFonts w:eastAsiaTheme="minorHAnsi"/>
                <w:b/>
                <w:bCs/>
                <w:color w:val="000000"/>
                <w:sz w:val="22"/>
                <w:szCs w:val="22"/>
                <w:lang w:val="hr-HR" w:eastAsia="en-US"/>
              </w:rPr>
              <w:t>2</w:t>
            </w:r>
          </w:p>
        </w:tc>
        <w:tc>
          <w:tcPr>
            <w:tcW w:w="886" w:type="dxa"/>
            <w:tcBorders>
              <w:top w:val="single" w:sz="6" w:space="0" w:color="auto"/>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center"/>
              <w:rPr>
                <w:rFonts w:eastAsiaTheme="minorHAnsi"/>
                <w:color w:val="000000"/>
                <w:sz w:val="22"/>
                <w:szCs w:val="22"/>
                <w:lang w:val="hr-HR" w:eastAsia="en-US"/>
              </w:rPr>
            </w:pPr>
          </w:p>
        </w:tc>
        <w:tc>
          <w:tcPr>
            <w:tcW w:w="442"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center"/>
              <w:rPr>
                <w:rFonts w:eastAsiaTheme="minorHAnsi"/>
                <w:color w:val="000000"/>
                <w:sz w:val="22"/>
                <w:szCs w:val="22"/>
                <w:lang w:val="hr-HR" w:eastAsia="en-US"/>
              </w:rPr>
            </w:pPr>
          </w:p>
        </w:tc>
        <w:tc>
          <w:tcPr>
            <w:tcW w:w="1082"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1559"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993"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1417"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1090"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874"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893" w:type="dxa"/>
            <w:tcBorders>
              <w:top w:val="single" w:sz="6" w:space="0" w:color="auto"/>
              <w:left w:val="single" w:sz="6" w:space="0" w:color="auto"/>
              <w:bottom w:val="single" w:sz="2"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r>
      <w:tr w:rsidR="00BA7CC2" w:rsidRPr="00FE6FF9" w:rsidTr="00DA164D">
        <w:trPr>
          <w:trHeight w:val="206"/>
        </w:trPr>
        <w:tc>
          <w:tcPr>
            <w:tcW w:w="597" w:type="dxa"/>
            <w:tcBorders>
              <w:top w:val="nil"/>
              <w:left w:val="single" w:sz="6" w:space="0" w:color="auto"/>
              <w:bottom w:val="nil"/>
              <w:right w:val="single" w:sz="6" w:space="0" w:color="auto"/>
            </w:tcBorders>
          </w:tcPr>
          <w:p w:rsidR="00BA7CC2" w:rsidRPr="00FE6FF9" w:rsidRDefault="00BA7CC2" w:rsidP="00BA7CC2">
            <w:pPr>
              <w:autoSpaceDE w:val="0"/>
              <w:autoSpaceDN w:val="0"/>
              <w:adjustRightInd w:val="0"/>
              <w:jc w:val="center"/>
              <w:rPr>
                <w:rFonts w:eastAsiaTheme="minorHAnsi"/>
                <w:b/>
                <w:bCs/>
                <w:color w:val="000000"/>
                <w:sz w:val="22"/>
                <w:szCs w:val="22"/>
                <w:lang w:val="hr-HR" w:eastAsia="en-US"/>
              </w:rPr>
            </w:pPr>
          </w:p>
        </w:tc>
        <w:tc>
          <w:tcPr>
            <w:tcW w:w="886" w:type="dxa"/>
            <w:tcBorders>
              <w:top w:val="single" w:sz="6" w:space="0" w:color="auto"/>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center"/>
              <w:rPr>
                <w:rFonts w:eastAsiaTheme="minorHAnsi"/>
                <w:color w:val="000000"/>
                <w:sz w:val="22"/>
                <w:szCs w:val="22"/>
                <w:lang w:val="hr-HR" w:eastAsia="en-US"/>
              </w:rPr>
            </w:pPr>
          </w:p>
        </w:tc>
        <w:tc>
          <w:tcPr>
            <w:tcW w:w="442"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center"/>
              <w:rPr>
                <w:rFonts w:eastAsiaTheme="minorHAnsi"/>
                <w:color w:val="000000"/>
                <w:sz w:val="22"/>
                <w:szCs w:val="22"/>
                <w:lang w:val="hr-HR" w:eastAsia="en-US"/>
              </w:rPr>
            </w:pPr>
          </w:p>
        </w:tc>
        <w:tc>
          <w:tcPr>
            <w:tcW w:w="1082"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1559"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993"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1417"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1090"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874"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c>
          <w:tcPr>
            <w:tcW w:w="893"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right"/>
              <w:rPr>
                <w:rFonts w:eastAsiaTheme="minorHAnsi"/>
                <w:color w:val="000000"/>
                <w:sz w:val="22"/>
                <w:szCs w:val="22"/>
                <w:lang w:val="hr-HR" w:eastAsia="en-US"/>
              </w:rPr>
            </w:pPr>
          </w:p>
        </w:tc>
      </w:tr>
      <w:tr w:rsidR="00BA7CC2" w:rsidRPr="00FE6FF9" w:rsidTr="00DA164D">
        <w:trPr>
          <w:trHeight w:val="206"/>
        </w:trPr>
        <w:tc>
          <w:tcPr>
            <w:tcW w:w="597" w:type="dxa"/>
            <w:tcBorders>
              <w:top w:val="nil"/>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center"/>
              <w:rPr>
                <w:rFonts w:eastAsiaTheme="minorHAnsi"/>
                <w:b/>
                <w:bCs/>
                <w:color w:val="000000"/>
                <w:sz w:val="22"/>
                <w:szCs w:val="22"/>
                <w:lang w:val="hr-HR" w:eastAsia="en-US"/>
              </w:rPr>
            </w:pPr>
          </w:p>
        </w:tc>
        <w:tc>
          <w:tcPr>
            <w:tcW w:w="886" w:type="dxa"/>
            <w:tcBorders>
              <w:top w:val="single" w:sz="6" w:space="0" w:color="auto"/>
              <w:left w:val="single" w:sz="6" w:space="0" w:color="auto"/>
              <w:bottom w:val="single" w:sz="6" w:space="0" w:color="auto"/>
              <w:right w:val="single" w:sz="6" w:space="0" w:color="auto"/>
            </w:tcBorders>
          </w:tcPr>
          <w:p w:rsidR="00BA7CC2" w:rsidRPr="00FE6FF9" w:rsidRDefault="00BA7CC2" w:rsidP="00BA7CC2">
            <w:pPr>
              <w:autoSpaceDE w:val="0"/>
              <w:autoSpaceDN w:val="0"/>
              <w:adjustRightInd w:val="0"/>
              <w:jc w:val="center"/>
              <w:rPr>
                <w:rFonts w:eastAsiaTheme="minorHAnsi"/>
                <w:color w:val="000000"/>
                <w:sz w:val="22"/>
                <w:szCs w:val="22"/>
                <w:lang w:val="hr-HR" w:eastAsia="en-US"/>
              </w:rPr>
            </w:pPr>
          </w:p>
        </w:tc>
        <w:tc>
          <w:tcPr>
            <w:tcW w:w="442" w:type="dxa"/>
            <w:tcBorders>
              <w:top w:val="single" w:sz="6" w:space="0" w:color="auto"/>
              <w:left w:val="single" w:sz="6" w:space="0" w:color="auto"/>
              <w:bottom w:val="single" w:sz="6" w:space="0" w:color="auto"/>
              <w:right w:val="nil"/>
            </w:tcBorders>
          </w:tcPr>
          <w:p w:rsidR="00BA7CC2" w:rsidRPr="00FE6FF9" w:rsidRDefault="00BA7CC2" w:rsidP="00BA7CC2">
            <w:pPr>
              <w:autoSpaceDE w:val="0"/>
              <w:autoSpaceDN w:val="0"/>
              <w:adjustRightInd w:val="0"/>
              <w:jc w:val="center"/>
              <w:rPr>
                <w:rFonts w:eastAsiaTheme="minorHAnsi"/>
                <w:b/>
                <w:bCs/>
                <w:color w:val="000000"/>
                <w:sz w:val="22"/>
                <w:szCs w:val="22"/>
                <w:lang w:val="hr-HR" w:eastAsia="en-US"/>
              </w:rPr>
            </w:pPr>
          </w:p>
        </w:tc>
        <w:tc>
          <w:tcPr>
            <w:tcW w:w="1082" w:type="dxa"/>
            <w:tcBorders>
              <w:top w:val="single" w:sz="6" w:space="0" w:color="auto"/>
              <w:left w:val="nil"/>
              <w:bottom w:val="single" w:sz="6" w:space="0" w:color="auto"/>
              <w:right w:val="single" w:sz="6" w:space="0" w:color="auto"/>
            </w:tcBorders>
          </w:tcPr>
          <w:p w:rsidR="00BA7CC2" w:rsidRPr="00FE6FF9" w:rsidRDefault="00BA7CC2" w:rsidP="00BA7CC2">
            <w:pPr>
              <w:autoSpaceDE w:val="0"/>
              <w:autoSpaceDN w:val="0"/>
              <w:adjustRightInd w:val="0"/>
              <w:jc w:val="center"/>
              <w:rPr>
                <w:rFonts w:eastAsiaTheme="minorHAnsi"/>
                <w:b/>
                <w:bCs/>
                <w:color w:val="000000"/>
                <w:sz w:val="22"/>
                <w:szCs w:val="22"/>
                <w:lang w:val="hr-HR" w:eastAsia="en-US"/>
              </w:rPr>
            </w:pPr>
          </w:p>
        </w:tc>
        <w:tc>
          <w:tcPr>
            <w:tcW w:w="1559" w:type="dxa"/>
            <w:tcBorders>
              <w:top w:val="single" w:sz="6" w:space="0" w:color="auto"/>
              <w:left w:val="single" w:sz="6" w:space="0" w:color="auto"/>
              <w:bottom w:val="single" w:sz="6" w:space="0" w:color="auto"/>
              <w:right w:val="single" w:sz="6" w:space="0" w:color="auto"/>
            </w:tcBorders>
            <w:shd w:val="pct25" w:color="auto" w:fill="FFFFFF"/>
          </w:tcPr>
          <w:p w:rsidR="00BA7CC2" w:rsidRPr="00FE6FF9" w:rsidRDefault="00BA7CC2" w:rsidP="00BA7CC2">
            <w:pPr>
              <w:autoSpaceDE w:val="0"/>
              <w:autoSpaceDN w:val="0"/>
              <w:adjustRightInd w:val="0"/>
              <w:jc w:val="right"/>
              <w:rPr>
                <w:rFonts w:eastAsiaTheme="minorHAnsi"/>
                <w:b/>
                <w:bCs/>
                <w:color w:val="000000"/>
                <w:sz w:val="22"/>
                <w:szCs w:val="22"/>
                <w:lang w:val="hr-HR" w:eastAsia="en-US"/>
              </w:rPr>
            </w:pPr>
          </w:p>
        </w:tc>
        <w:tc>
          <w:tcPr>
            <w:tcW w:w="993" w:type="dxa"/>
            <w:tcBorders>
              <w:top w:val="single" w:sz="6" w:space="0" w:color="auto"/>
              <w:left w:val="single" w:sz="6" w:space="0" w:color="auto"/>
              <w:bottom w:val="single" w:sz="6" w:space="0" w:color="auto"/>
              <w:right w:val="single" w:sz="6" w:space="0" w:color="auto"/>
            </w:tcBorders>
            <w:shd w:val="pct25" w:color="auto" w:fill="FFFFFF"/>
          </w:tcPr>
          <w:p w:rsidR="00BA7CC2" w:rsidRPr="00FE6FF9" w:rsidRDefault="00BA7CC2" w:rsidP="00BA7CC2">
            <w:pPr>
              <w:autoSpaceDE w:val="0"/>
              <w:autoSpaceDN w:val="0"/>
              <w:adjustRightInd w:val="0"/>
              <w:jc w:val="right"/>
              <w:rPr>
                <w:rFonts w:eastAsiaTheme="minorHAnsi"/>
                <w:b/>
                <w:bCs/>
                <w:color w:val="000000"/>
                <w:sz w:val="22"/>
                <w:szCs w:val="22"/>
                <w:lang w:val="hr-HR" w:eastAsia="en-US"/>
              </w:rPr>
            </w:pPr>
          </w:p>
        </w:tc>
        <w:tc>
          <w:tcPr>
            <w:tcW w:w="1417" w:type="dxa"/>
            <w:tcBorders>
              <w:top w:val="single" w:sz="6" w:space="0" w:color="auto"/>
              <w:left w:val="single" w:sz="6" w:space="0" w:color="auto"/>
              <w:bottom w:val="single" w:sz="6" w:space="0" w:color="auto"/>
              <w:right w:val="single" w:sz="6" w:space="0" w:color="auto"/>
            </w:tcBorders>
            <w:shd w:val="pct25" w:color="auto" w:fill="FFFFFF"/>
          </w:tcPr>
          <w:p w:rsidR="00BA7CC2" w:rsidRPr="00FE6FF9" w:rsidRDefault="00BA7CC2" w:rsidP="00BA7CC2">
            <w:pPr>
              <w:autoSpaceDE w:val="0"/>
              <w:autoSpaceDN w:val="0"/>
              <w:adjustRightInd w:val="0"/>
              <w:jc w:val="right"/>
              <w:rPr>
                <w:rFonts w:eastAsiaTheme="minorHAnsi"/>
                <w:b/>
                <w:bCs/>
                <w:color w:val="000000"/>
                <w:sz w:val="22"/>
                <w:szCs w:val="22"/>
                <w:lang w:val="hr-HR" w:eastAsia="en-US"/>
              </w:rPr>
            </w:pPr>
          </w:p>
        </w:tc>
        <w:tc>
          <w:tcPr>
            <w:tcW w:w="1090" w:type="dxa"/>
            <w:tcBorders>
              <w:top w:val="single" w:sz="6" w:space="0" w:color="auto"/>
              <w:left w:val="single" w:sz="6" w:space="0" w:color="auto"/>
              <w:bottom w:val="single" w:sz="6" w:space="0" w:color="auto"/>
              <w:right w:val="single" w:sz="6" w:space="0" w:color="auto"/>
            </w:tcBorders>
            <w:shd w:val="pct25" w:color="auto" w:fill="FFFFFF"/>
          </w:tcPr>
          <w:p w:rsidR="00BA7CC2" w:rsidRPr="00FE6FF9" w:rsidRDefault="00BA7CC2" w:rsidP="00BA7CC2">
            <w:pPr>
              <w:autoSpaceDE w:val="0"/>
              <w:autoSpaceDN w:val="0"/>
              <w:adjustRightInd w:val="0"/>
              <w:jc w:val="right"/>
              <w:rPr>
                <w:rFonts w:eastAsiaTheme="minorHAnsi"/>
                <w:b/>
                <w:bCs/>
                <w:color w:val="000000"/>
                <w:sz w:val="22"/>
                <w:szCs w:val="22"/>
                <w:lang w:val="hr-HR" w:eastAsia="en-US"/>
              </w:rPr>
            </w:pPr>
          </w:p>
        </w:tc>
        <w:tc>
          <w:tcPr>
            <w:tcW w:w="874" w:type="dxa"/>
            <w:tcBorders>
              <w:top w:val="single" w:sz="6" w:space="0" w:color="auto"/>
              <w:left w:val="single" w:sz="6" w:space="0" w:color="auto"/>
              <w:bottom w:val="single" w:sz="6" w:space="0" w:color="auto"/>
              <w:right w:val="single" w:sz="6" w:space="0" w:color="auto"/>
            </w:tcBorders>
            <w:shd w:val="pct25" w:color="auto" w:fill="FFFFFF"/>
          </w:tcPr>
          <w:p w:rsidR="00BA7CC2" w:rsidRPr="00FE6FF9" w:rsidRDefault="00BA7CC2" w:rsidP="00BA7CC2">
            <w:pPr>
              <w:autoSpaceDE w:val="0"/>
              <w:autoSpaceDN w:val="0"/>
              <w:adjustRightInd w:val="0"/>
              <w:jc w:val="right"/>
              <w:rPr>
                <w:rFonts w:eastAsiaTheme="minorHAnsi"/>
                <w:b/>
                <w:bCs/>
                <w:color w:val="000000"/>
                <w:sz w:val="22"/>
                <w:szCs w:val="22"/>
                <w:lang w:val="hr-HR" w:eastAsia="en-US"/>
              </w:rPr>
            </w:pPr>
          </w:p>
        </w:tc>
        <w:tc>
          <w:tcPr>
            <w:tcW w:w="893" w:type="dxa"/>
            <w:tcBorders>
              <w:top w:val="single" w:sz="6" w:space="0" w:color="auto"/>
              <w:left w:val="single" w:sz="6" w:space="0" w:color="auto"/>
              <w:bottom w:val="single" w:sz="6" w:space="0" w:color="auto"/>
              <w:right w:val="single" w:sz="6" w:space="0" w:color="auto"/>
            </w:tcBorders>
            <w:shd w:val="pct25" w:color="auto" w:fill="FFFFFF"/>
          </w:tcPr>
          <w:p w:rsidR="00BA7CC2" w:rsidRPr="00FE6FF9" w:rsidRDefault="00BA7CC2" w:rsidP="00BA7CC2">
            <w:pPr>
              <w:autoSpaceDE w:val="0"/>
              <w:autoSpaceDN w:val="0"/>
              <w:adjustRightInd w:val="0"/>
              <w:jc w:val="right"/>
              <w:rPr>
                <w:rFonts w:eastAsiaTheme="minorHAnsi"/>
                <w:b/>
                <w:bCs/>
                <w:color w:val="000000"/>
                <w:sz w:val="22"/>
                <w:szCs w:val="22"/>
                <w:lang w:val="hr-HR" w:eastAsia="en-US"/>
              </w:rPr>
            </w:pPr>
          </w:p>
        </w:tc>
      </w:tr>
    </w:tbl>
    <w:p w:rsidR="007C1D55" w:rsidRPr="00FE6FF9" w:rsidRDefault="007C1D55" w:rsidP="00A05FA4">
      <w:pPr>
        <w:jc w:val="both"/>
        <w:rPr>
          <w:szCs w:val="24"/>
          <w:lang w:val="hr-HR"/>
        </w:rPr>
      </w:pPr>
    </w:p>
    <w:p w:rsidR="009B6F14" w:rsidRPr="00964122" w:rsidRDefault="009B6F14" w:rsidP="00A05FA4">
      <w:pPr>
        <w:jc w:val="both"/>
        <w:rPr>
          <w:szCs w:val="24"/>
          <w:lang w:val="hr-HR"/>
        </w:rPr>
      </w:pPr>
    </w:p>
    <w:p w:rsidR="008600C0" w:rsidRPr="00964122" w:rsidRDefault="008600C0" w:rsidP="008600C0">
      <w:pPr>
        <w:rPr>
          <w:b/>
          <w:szCs w:val="24"/>
          <w:u w:val="single"/>
        </w:rPr>
      </w:pPr>
      <w:r w:rsidRPr="00964122">
        <w:rPr>
          <w:b/>
          <w:szCs w:val="24"/>
          <w:u w:val="single"/>
        </w:rPr>
        <w:t>Bilješke uz obrazac P-VRIO</w:t>
      </w:r>
    </w:p>
    <w:p w:rsidR="008600C0" w:rsidRPr="00964122" w:rsidRDefault="008600C0" w:rsidP="008600C0">
      <w:pPr>
        <w:rPr>
          <w:szCs w:val="24"/>
          <w:u w:val="single"/>
        </w:rPr>
      </w:pPr>
    </w:p>
    <w:p w:rsidR="008600C0" w:rsidRPr="00964122" w:rsidRDefault="008600C0" w:rsidP="008600C0">
      <w:pPr>
        <w:autoSpaceDE w:val="0"/>
        <w:autoSpaceDN w:val="0"/>
        <w:adjustRightInd w:val="0"/>
        <w:rPr>
          <w:bCs/>
          <w:szCs w:val="24"/>
          <w:lang w:val="hr-HR"/>
        </w:rPr>
      </w:pPr>
      <w:r w:rsidRPr="00964122">
        <w:rPr>
          <w:bCs/>
          <w:szCs w:val="24"/>
          <w:lang w:val="hr-HR"/>
        </w:rPr>
        <w:t>Tijekom 202</w:t>
      </w:r>
      <w:r w:rsidR="00CC665A" w:rsidRPr="00964122">
        <w:rPr>
          <w:bCs/>
          <w:szCs w:val="24"/>
          <w:lang w:val="hr-HR"/>
        </w:rPr>
        <w:t>2</w:t>
      </w:r>
      <w:r w:rsidRPr="00964122">
        <w:rPr>
          <w:bCs/>
          <w:szCs w:val="24"/>
          <w:lang w:val="hr-HR"/>
        </w:rPr>
        <w:t xml:space="preserve">. godine </w:t>
      </w:r>
      <w:r w:rsidR="00CC665A" w:rsidRPr="00964122">
        <w:rPr>
          <w:bCs/>
          <w:szCs w:val="24"/>
          <w:lang w:val="hr-HR"/>
        </w:rPr>
        <w:t>nismo imali promjene u vrijednosti i obujmu imovine i obveza.</w:t>
      </w:r>
    </w:p>
    <w:p w:rsidR="008600C0" w:rsidRPr="00964122" w:rsidRDefault="008600C0" w:rsidP="008600C0">
      <w:pPr>
        <w:rPr>
          <w:bCs/>
          <w:szCs w:val="24"/>
          <w:lang w:val="hr-HR"/>
        </w:rPr>
      </w:pPr>
    </w:p>
    <w:p w:rsidR="008600C0" w:rsidRPr="00964122" w:rsidRDefault="008600C0" w:rsidP="008600C0">
      <w:pPr>
        <w:rPr>
          <w:b/>
          <w:szCs w:val="24"/>
          <w:u w:val="single"/>
        </w:rPr>
      </w:pPr>
      <w:r w:rsidRPr="00964122">
        <w:rPr>
          <w:b/>
          <w:szCs w:val="24"/>
          <w:u w:val="single"/>
        </w:rPr>
        <w:t>Bilješke uz obrazac RAS-funkcijski</w:t>
      </w:r>
    </w:p>
    <w:p w:rsidR="008600C0" w:rsidRPr="00964122" w:rsidRDefault="008600C0" w:rsidP="008600C0">
      <w:pPr>
        <w:rPr>
          <w:szCs w:val="24"/>
          <w:u w:val="single"/>
        </w:rPr>
      </w:pPr>
    </w:p>
    <w:p w:rsidR="008600C0" w:rsidRPr="00964122" w:rsidRDefault="00CC665A" w:rsidP="006258FA">
      <w:pPr>
        <w:rPr>
          <w:bCs/>
          <w:szCs w:val="24"/>
          <w:lang w:val="hr-HR"/>
        </w:rPr>
      </w:pPr>
      <w:r w:rsidRPr="00964122">
        <w:rPr>
          <w:b/>
          <w:bCs/>
          <w:szCs w:val="24"/>
          <w:lang w:val="hr-HR"/>
        </w:rPr>
        <w:t xml:space="preserve">Šifra </w:t>
      </w:r>
      <w:r w:rsidR="008600C0" w:rsidRPr="00964122">
        <w:rPr>
          <w:b/>
          <w:bCs/>
          <w:szCs w:val="24"/>
          <w:lang w:val="hr-HR"/>
        </w:rPr>
        <w:t>0</w:t>
      </w:r>
      <w:r w:rsidRPr="00964122">
        <w:rPr>
          <w:b/>
          <w:bCs/>
          <w:szCs w:val="24"/>
          <w:lang w:val="hr-HR"/>
        </w:rPr>
        <w:t>9</w:t>
      </w:r>
      <w:r w:rsidR="008600C0" w:rsidRPr="00964122">
        <w:rPr>
          <w:bCs/>
          <w:szCs w:val="24"/>
          <w:lang w:val="hr-HR"/>
        </w:rPr>
        <w:t xml:space="preserve"> - Ukupni rashodi ostvareni u tekućoj godini povećani su u odnosu na prethodnu godinu za </w:t>
      </w:r>
      <w:r w:rsidRPr="00964122">
        <w:rPr>
          <w:bCs/>
          <w:szCs w:val="24"/>
          <w:lang w:val="hr-HR"/>
        </w:rPr>
        <w:t>2,6</w:t>
      </w:r>
      <w:r w:rsidR="008600C0" w:rsidRPr="00964122">
        <w:rPr>
          <w:bCs/>
          <w:szCs w:val="24"/>
          <w:lang w:val="hr-HR"/>
        </w:rPr>
        <w:t>%</w:t>
      </w:r>
      <w:r w:rsidRPr="00964122">
        <w:rPr>
          <w:bCs/>
          <w:szCs w:val="24"/>
          <w:lang w:val="hr-HR"/>
        </w:rPr>
        <w:t xml:space="preserve"> iz više razloga. Kod redovnog poslovanja došlo je do povećanja prihoda za plaće i naknade troškova zaposlenima a smanjeni su prihodi temeljem vlastite djelatnosti. </w:t>
      </w:r>
      <w:r w:rsidR="006B62CA" w:rsidRPr="00964122">
        <w:rPr>
          <w:bCs/>
          <w:szCs w:val="24"/>
          <w:lang w:val="hr-HR"/>
        </w:rPr>
        <w:t xml:space="preserve">Rashodi za materijal i energiju te financijski rashodi su smanjeni dok su povećani rashodi za usluge. U 2022. godini ostvareni su prihodi od nefinancijske imovine zbog prodaje strojeva </w:t>
      </w:r>
      <w:r w:rsidR="006258FA" w:rsidRPr="00964122">
        <w:rPr>
          <w:bCs/>
          <w:szCs w:val="24"/>
          <w:lang w:val="hr-HR"/>
        </w:rPr>
        <w:t xml:space="preserve">što nismo imali u prijašnjim razdobljima </w:t>
      </w:r>
      <w:r w:rsidR="006B62CA" w:rsidRPr="00964122">
        <w:rPr>
          <w:bCs/>
          <w:szCs w:val="24"/>
          <w:lang w:val="hr-HR"/>
        </w:rPr>
        <w:t xml:space="preserve">a </w:t>
      </w:r>
      <w:r w:rsidR="006258FA" w:rsidRPr="00964122">
        <w:rPr>
          <w:bCs/>
          <w:szCs w:val="24"/>
          <w:lang w:val="hr-HR"/>
        </w:rPr>
        <w:t xml:space="preserve">za nabavu imovine utrošeno je manje za 14,7%. Razlozi povećanja/smanjenja su promjena tržišnih uvjeta, odnosno zbog povećanja cijena došlo je do povećanja plaća zaposlenima; manja je bila zainteresiranost za vlastitu djelatnost; manje je nabavljeno sitnog inventara budući da će se nabaviti iz sredstava EU projekata čija nabavka je u tijeku; više je utrošeno za uređenje škole i obavezne servise; manje je isplaćeno zaposlenima </w:t>
      </w:r>
      <w:r w:rsidR="008B5CB1" w:rsidRPr="00964122">
        <w:rPr>
          <w:bCs/>
          <w:szCs w:val="24"/>
          <w:lang w:val="hr-HR"/>
        </w:rPr>
        <w:t>temeljem sudskih sporova.</w:t>
      </w:r>
    </w:p>
    <w:p w:rsidR="008600C0" w:rsidRPr="00964122" w:rsidRDefault="008600C0" w:rsidP="008600C0">
      <w:pPr>
        <w:rPr>
          <w:bCs/>
          <w:szCs w:val="24"/>
          <w:lang w:val="hr-HR"/>
        </w:rPr>
      </w:pPr>
    </w:p>
    <w:p w:rsidR="008600C0" w:rsidRPr="00964122" w:rsidRDefault="008600C0" w:rsidP="008600C0">
      <w:pPr>
        <w:rPr>
          <w:bCs/>
          <w:szCs w:val="24"/>
          <w:lang w:val="hr-HR"/>
        </w:rPr>
      </w:pPr>
      <w:r w:rsidRPr="00964122">
        <w:rPr>
          <w:bCs/>
          <w:szCs w:val="24"/>
          <w:lang w:val="hr-HR"/>
        </w:rPr>
        <w:t>U Puli, 31. 01. 202</w:t>
      </w:r>
      <w:r w:rsidR="008B5CB1" w:rsidRPr="00964122">
        <w:rPr>
          <w:bCs/>
          <w:szCs w:val="24"/>
          <w:lang w:val="hr-HR"/>
        </w:rPr>
        <w:t>2</w:t>
      </w:r>
      <w:r w:rsidRPr="00964122">
        <w:rPr>
          <w:bCs/>
          <w:szCs w:val="24"/>
          <w:lang w:val="hr-HR"/>
        </w:rPr>
        <w:t>.</w:t>
      </w:r>
      <w:r w:rsidRPr="00964122">
        <w:rPr>
          <w:bCs/>
          <w:szCs w:val="24"/>
          <w:lang w:val="hr-HR"/>
        </w:rPr>
        <w:tab/>
      </w:r>
      <w:r w:rsidRPr="00964122">
        <w:rPr>
          <w:bCs/>
          <w:szCs w:val="24"/>
          <w:lang w:val="hr-HR"/>
        </w:rPr>
        <w:tab/>
      </w:r>
      <w:r w:rsidRPr="00964122">
        <w:rPr>
          <w:bCs/>
          <w:szCs w:val="24"/>
          <w:lang w:val="hr-HR"/>
        </w:rPr>
        <w:tab/>
      </w:r>
      <w:r w:rsidRPr="00964122">
        <w:rPr>
          <w:bCs/>
          <w:szCs w:val="24"/>
          <w:lang w:val="hr-HR"/>
        </w:rPr>
        <w:tab/>
      </w:r>
      <w:r w:rsidRPr="00964122">
        <w:rPr>
          <w:bCs/>
          <w:szCs w:val="24"/>
          <w:lang w:val="hr-HR"/>
        </w:rPr>
        <w:tab/>
      </w:r>
      <w:r w:rsidRPr="00964122">
        <w:rPr>
          <w:bCs/>
          <w:szCs w:val="24"/>
          <w:lang w:val="hr-HR"/>
        </w:rPr>
        <w:tab/>
      </w:r>
    </w:p>
    <w:p w:rsidR="008600C0" w:rsidRPr="00964122" w:rsidRDefault="008600C0" w:rsidP="008600C0">
      <w:pPr>
        <w:rPr>
          <w:szCs w:val="24"/>
        </w:rPr>
      </w:pPr>
      <w:r w:rsidRPr="00964122">
        <w:rPr>
          <w:bCs/>
          <w:szCs w:val="24"/>
          <w:lang w:val="hr-HR"/>
        </w:rPr>
        <w:t>Telefon za kontakt: 052/216-121</w:t>
      </w:r>
      <w:r w:rsidRPr="00964122">
        <w:rPr>
          <w:szCs w:val="24"/>
        </w:rPr>
        <w:tab/>
      </w:r>
      <w:r w:rsidRPr="00964122">
        <w:rPr>
          <w:szCs w:val="24"/>
        </w:rPr>
        <w:tab/>
      </w:r>
    </w:p>
    <w:p w:rsidR="008600C0" w:rsidRPr="00964122" w:rsidRDefault="008600C0" w:rsidP="008600C0">
      <w:pPr>
        <w:rPr>
          <w:bCs/>
          <w:szCs w:val="24"/>
          <w:lang w:val="hr-HR"/>
        </w:rPr>
      </w:pPr>
    </w:p>
    <w:p w:rsidR="008600C0" w:rsidRPr="00964122" w:rsidRDefault="008600C0" w:rsidP="008600C0">
      <w:pPr>
        <w:rPr>
          <w:bCs/>
          <w:szCs w:val="24"/>
          <w:lang w:val="hr-HR"/>
        </w:rPr>
      </w:pPr>
      <w:r w:rsidRPr="00964122">
        <w:rPr>
          <w:bCs/>
          <w:szCs w:val="24"/>
          <w:lang w:val="hr-HR"/>
        </w:rPr>
        <w:t>Osoba za kontaktiranje</w:t>
      </w:r>
      <w:r w:rsidRPr="00964122">
        <w:rPr>
          <w:bCs/>
          <w:szCs w:val="24"/>
          <w:lang w:val="hr-HR"/>
        </w:rPr>
        <w:tab/>
      </w:r>
      <w:r w:rsidRPr="00964122">
        <w:rPr>
          <w:bCs/>
          <w:szCs w:val="24"/>
          <w:lang w:val="hr-HR"/>
        </w:rPr>
        <w:tab/>
      </w:r>
      <w:r w:rsidRPr="00964122">
        <w:rPr>
          <w:bCs/>
          <w:szCs w:val="24"/>
          <w:lang w:val="hr-HR"/>
        </w:rPr>
        <w:tab/>
      </w:r>
      <w:r w:rsidRPr="00964122">
        <w:rPr>
          <w:bCs/>
          <w:szCs w:val="24"/>
          <w:lang w:val="hr-HR"/>
        </w:rPr>
        <w:tab/>
      </w:r>
      <w:r w:rsidR="00964122">
        <w:rPr>
          <w:bCs/>
          <w:szCs w:val="24"/>
          <w:lang w:val="hr-HR"/>
        </w:rPr>
        <w:t xml:space="preserve">       </w:t>
      </w:r>
      <w:r w:rsidRPr="00964122">
        <w:rPr>
          <w:bCs/>
          <w:szCs w:val="24"/>
          <w:lang w:val="hr-HR"/>
        </w:rPr>
        <w:t xml:space="preserve"> Odgovorna osoba</w:t>
      </w:r>
    </w:p>
    <w:p w:rsidR="008600C0" w:rsidRPr="00964122" w:rsidRDefault="008600C0" w:rsidP="008600C0">
      <w:pPr>
        <w:rPr>
          <w:szCs w:val="24"/>
          <w:u w:val="single"/>
        </w:rPr>
      </w:pPr>
      <w:r w:rsidRPr="00964122">
        <w:rPr>
          <w:bCs/>
          <w:szCs w:val="24"/>
          <w:lang w:val="hr-HR"/>
        </w:rPr>
        <w:t xml:space="preserve">   Nevenka Kontošić</w:t>
      </w:r>
      <w:r w:rsidRPr="00964122">
        <w:rPr>
          <w:bCs/>
          <w:szCs w:val="24"/>
          <w:lang w:val="hr-HR"/>
        </w:rPr>
        <w:tab/>
      </w:r>
      <w:r w:rsidRPr="00964122">
        <w:rPr>
          <w:bCs/>
          <w:szCs w:val="24"/>
          <w:lang w:val="hr-HR"/>
        </w:rPr>
        <w:tab/>
        <w:t xml:space="preserve">    </w:t>
      </w:r>
      <w:r w:rsidRPr="00964122">
        <w:rPr>
          <w:bCs/>
          <w:szCs w:val="24"/>
          <w:lang w:val="hr-HR"/>
        </w:rPr>
        <w:tab/>
      </w:r>
      <w:r w:rsidRPr="00964122">
        <w:rPr>
          <w:bCs/>
          <w:szCs w:val="24"/>
          <w:lang w:val="hr-HR"/>
        </w:rPr>
        <w:tab/>
      </w:r>
      <w:r w:rsidRPr="00964122">
        <w:rPr>
          <w:bCs/>
          <w:szCs w:val="24"/>
          <w:lang w:val="hr-HR"/>
        </w:rPr>
        <w:tab/>
        <w:t>Dragan Radovanović, dipl.ing.</w:t>
      </w:r>
    </w:p>
    <w:p w:rsidR="00722042" w:rsidRPr="00964122" w:rsidRDefault="00722042" w:rsidP="008600C0">
      <w:pPr>
        <w:jc w:val="both"/>
        <w:rPr>
          <w:szCs w:val="24"/>
          <w:lang w:val="hr-HR"/>
        </w:rPr>
      </w:pPr>
    </w:p>
    <w:sectPr w:rsidR="00722042" w:rsidRPr="00964122" w:rsidSect="00C76741">
      <w:type w:val="continuous"/>
      <w:pgSz w:w="11907" w:h="16840"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4AE"/>
    <w:multiLevelType w:val="hybridMultilevel"/>
    <w:tmpl w:val="745EA484"/>
    <w:lvl w:ilvl="0" w:tplc="D04A3D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709444E"/>
    <w:multiLevelType w:val="hybridMultilevel"/>
    <w:tmpl w:val="3814B59A"/>
    <w:lvl w:ilvl="0" w:tplc="6FE2C5B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71940946"/>
    <w:multiLevelType w:val="hybridMultilevel"/>
    <w:tmpl w:val="52E0B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E4"/>
    <w:rsid w:val="0003212F"/>
    <w:rsid w:val="0006284B"/>
    <w:rsid w:val="00062A4D"/>
    <w:rsid w:val="00073504"/>
    <w:rsid w:val="000A5896"/>
    <w:rsid w:val="00102002"/>
    <w:rsid w:val="00122AAC"/>
    <w:rsid w:val="00150A49"/>
    <w:rsid w:val="0018090F"/>
    <w:rsid w:val="00204F0A"/>
    <w:rsid w:val="00236640"/>
    <w:rsid w:val="00281675"/>
    <w:rsid w:val="00285A35"/>
    <w:rsid w:val="002972BC"/>
    <w:rsid w:val="00297F8D"/>
    <w:rsid w:val="002A795B"/>
    <w:rsid w:val="002F756B"/>
    <w:rsid w:val="0039049F"/>
    <w:rsid w:val="003B6199"/>
    <w:rsid w:val="003C0B17"/>
    <w:rsid w:val="003D6082"/>
    <w:rsid w:val="003F6ADC"/>
    <w:rsid w:val="00435DEB"/>
    <w:rsid w:val="00435F58"/>
    <w:rsid w:val="0046151E"/>
    <w:rsid w:val="004617AC"/>
    <w:rsid w:val="00475232"/>
    <w:rsid w:val="005507B8"/>
    <w:rsid w:val="0056753C"/>
    <w:rsid w:val="005A0683"/>
    <w:rsid w:val="005E0666"/>
    <w:rsid w:val="005F7F3C"/>
    <w:rsid w:val="00607005"/>
    <w:rsid w:val="00607C54"/>
    <w:rsid w:val="00607D3E"/>
    <w:rsid w:val="006258FA"/>
    <w:rsid w:val="00627650"/>
    <w:rsid w:val="00636BF2"/>
    <w:rsid w:val="00684ABF"/>
    <w:rsid w:val="0069053B"/>
    <w:rsid w:val="006B62CA"/>
    <w:rsid w:val="006D26DF"/>
    <w:rsid w:val="006D75F6"/>
    <w:rsid w:val="007058EF"/>
    <w:rsid w:val="0071538C"/>
    <w:rsid w:val="00716C37"/>
    <w:rsid w:val="007207B8"/>
    <w:rsid w:val="00722042"/>
    <w:rsid w:val="007368E5"/>
    <w:rsid w:val="00760FCF"/>
    <w:rsid w:val="007677FE"/>
    <w:rsid w:val="00767B8C"/>
    <w:rsid w:val="00794D0C"/>
    <w:rsid w:val="00795678"/>
    <w:rsid w:val="007A00B3"/>
    <w:rsid w:val="007B44A2"/>
    <w:rsid w:val="007C152E"/>
    <w:rsid w:val="007C1D55"/>
    <w:rsid w:val="007E6101"/>
    <w:rsid w:val="007E79B4"/>
    <w:rsid w:val="0080466E"/>
    <w:rsid w:val="008600C0"/>
    <w:rsid w:val="008B5CB1"/>
    <w:rsid w:val="00904018"/>
    <w:rsid w:val="00915591"/>
    <w:rsid w:val="0092340F"/>
    <w:rsid w:val="00950C7D"/>
    <w:rsid w:val="009532F6"/>
    <w:rsid w:val="00964122"/>
    <w:rsid w:val="00974704"/>
    <w:rsid w:val="00995862"/>
    <w:rsid w:val="009B6F14"/>
    <w:rsid w:val="009E080E"/>
    <w:rsid w:val="009E1E73"/>
    <w:rsid w:val="00A05FA4"/>
    <w:rsid w:val="00AE7AE1"/>
    <w:rsid w:val="00B252CE"/>
    <w:rsid w:val="00B5463C"/>
    <w:rsid w:val="00B7361D"/>
    <w:rsid w:val="00B754EC"/>
    <w:rsid w:val="00B7667A"/>
    <w:rsid w:val="00B86ED7"/>
    <w:rsid w:val="00B91FDC"/>
    <w:rsid w:val="00BA78A3"/>
    <w:rsid w:val="00BA7CC2"/>
    <w:rsid w:val="00BC3490"/>
    <w:rsid w:val="00BC40E4"/>
    <w:rsid w:val="00BC72E8"/>
    <w:rsid w:val="00BD23DA"/>
    <w:rsid w:val="00BE63E2"/>
    <w:rsid w:val="00BF3DC7"/>
    <w:rsid w:val="00C2579A"/>
    <w:rsid w:val="00C26EF7"/>
    <w:rsid w:val="00C76741"/>
    <w:rsid w:val="00C800CA"/>
    <w:rsid w:val="00CA2DAC"/>
    <w:rsid w:val="00CC665A"/>
    <w:rsid w:val="00CD23EC"/>
    <w:rsid w:val="00CE3038"/>
    <w:rsid w:val="00CF5AF9"/>
    <w:rsid w:val="00D70381"/>
    <w:rsid w:val="00DA164D"/>
    <w:rsid w:val="00DE4E05"/>
    <w:rsid w:val="00DF706D"/>
    <w:rsid w:val="00E0408B"/>
    <w:rsid w:val="00E26750"/>
    <w:rsid w:val="00E30183"/>
    <w:rsid w:val="00E477A1"/>
    <w:rsid w:val="00E7079A"/>
    <w:rsid w:val="00E90F08"/>
    <w:rsid w:val="00ED4B28"/>
    <w:rsid w:val="00EF1579"/>
    <w:rsid w:val="00F62D98"/>
    <w:rsid w:val="00F95E47"/>
    <w:rsid w:val="00FE6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E4"/>
    <w:rPr>
      <w:rFonts w:ascii="Times New Roman" w:eastAsia="Times New Roman" w:hAnsi="Times New Roman" w:cs="Times New Roman"/>
      <w:sz w:val="24"/>
      <w:szCs w:val="20"/>
      <w:lang w:val="en-US" w:eastAsia="hr-HR"/>
    </w:rPr>
  </w:style>
  <w:style w:type="paragraph" w:styleId="Naslov3">
    <w:name w:val="heading 3"/>
    <w:basedOn w:val="Normal"/>
    <w:next w:val="Normal"/>
    <w:link w:val="Naslov3Char"/>
    <w:qFormat/>
    <w:rsid w:val="00BC40E4"/>
    <w:pPr>
      <w:keepNext/>
      <w:jc w:val="both"/>
      <w:outlineLvl w:val="2"/>
    </w:pPr>
    <w:rPr>
      <w:rFonts w:ascii="Univers Condensed" w:hAnsi="Univers Condensed"/>
      <w:b/>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BC40E4"/>
    <w:rPr>
      <w:rFonts w:ascii="Univers Condensed" w:eastAsia="Times New Roman" w:hAnsi="Univers Condensed" w:cs="Times New Roman"/>
      <w:b/>
      <w:sz w:val="28"/>
      <w:szCs w:val="20"/>
      <w:lang w:eastAsia="hr-HR"/>
    </w:rPr>
  </w:style>
  <w:style w:type="paragraph" w:styleId="Tijeloteksta2">
    <w:name w:val="Body Text 2"/>
    <w:basedOn w:val="Normal"/>
    <w:link w:val="Tijeloteksta2Char"/>
    <w:rsid w:val="00BC40E4"/>
    <w:pPr>
      <w:jc w:val="both"/>
    </w:pPr>
    <w:rPr>
      <w:rFonts w:ascii="Univers Condensed" w:hAnsi="Univers Condensed"/>
      <w:sz w:val="28"/>
      <w:lang w:val="hr-HR"/>
    </w:rPr>
  </w:style>
  <w:style w:type="character" w:customStyle="1" w:styleId="Tijeloteksta2Char">
    <w:name w:val="Tijelo teksta 2 Char"/>
    <w:basedOn w:val="Zadanifontodlomka"/>
    <w:link w:val="Tijeloteksta2"/>
    <w:rsid w:val="00BC40E4"/>
    <w:rPr>
      <w:rFonts w:ascii="Univers Condensed" w:eastAsia="Times New Roman" w:hAnsi="Univers Condensed" w:cs="Times New Roman"/>
      <w:sz w:val="28"/>
      <w:szCs w:val="20"/>
      <w:lang w:eastAsia="hr-HR"/>
    </w:rPr>
  </w:style>
  <w:style w:type="paragraph" w:styleId="Tijeloteksta3">
    <w:name w:val="Body Text 3"/>
    <w:basedOn w:val="Normal"/>
    <w:link w:val="Tijeloteksta3Char"/>
    <w:rsid w:val="00BC40E4"/>
    <w:pPr>
      <w:jc w:val="both"/>
    </w:pPr>
    <w:rPr>
      <w:rFonts w:ascii="Univers Condensed" w:hAnsi="Univers Condensed"/>
      <w:sz w:val="26"/>
      <w:lang w:val="hr-HR"/>
    </w:rPr>
  </w:style>
  <w:style w:type="character" w:customStyle="1" w:styleId="Tijeloteksta3Char">
    <w:name w:val="Tijelo teksta 3 Char"/>
    <w:basedOn w:val="Zadanifontodlomka"/>
    <w:link w:val="Tijeloteksta3"/>
    <w:rsid w:val="00BC40E4"/>
    <w:rPr>
      <w:rFonts w:ascii="Univers Condensed" w:eastAsia="Times New Roman" w:hAnsi="Univers Condensed" w:cs="Times New Roman"/>
      <w:sz w:val="26"/>
      <w:szCs w:val="20"/>
      <w:lang w:eastAsia="hr-HR"/>
    </w:rPr>
  </w:style>
  <w:style w:type="paragraph" w:styleId="Odlomakpopisa">
    <w:name w:val="List Paragraph"/>
    <w:basedOn w:val="Normal"/>
    <w:uiPriority w:val="34"/>
    <w:qFormat/>
    <w:rsid w:val="00BC40E4"/>
    <w:pPr>
      <w:ind w:left="720"/>
      <w:contextualSpacing/>
    </w:pPr>
  </w:style>
  <w:style w:type="paragraph" w:styleId="Tekstbalonia">
    <w:name w:val="Balloon Text"/>
    <w:basedOn w:val="Normal"/>
    <w:link w:val="TekstbaloniaChar"/>
    <w:uiPriority w:val="99"/>
    <w:semiHidden/>
    <w:unhideWhenUsed/>
    <w:rsid w:val="00236640"/>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40"/>
    <w:rPr>
      <w:rFonts w:ascii="Tahoma" w:eastAsia="Times New Roman" w:hAnsi="Tahoma" w:cs="Tahoma"/>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E4"/>
    <w:rPr>
      <w:rFonts w:ascii="Times New Roman" w:eastAsia="Times New Roman" w:hAnsi="Times New Roman" w:cs="Times New Roman"/>
      <w:sz w:val="24"/>
      <w:szCs w:val="20"/>
      <w:lang w:val="en-US" w:eastAsia="hr-HR"/>
    </w:rPr>
  </w:style>
  <w:style w:type="paragraph" w:styleId="Naslov3">
    <w:name w:val="heading 3"/>
    <w:basedOn w:val="Normal"/>
    <w:next w:val="Normal"/>
    <w:link w:val="Naslov3Char"/>
    <w:qFormat/>
    <w:rsid w:val="00BC40E4"/>
    <w:pPr>
      <w:keepNext/>
      <w:jc w:val="both"/>
      <w:outlineLvl w:val="2"/>
    </w:pPr>
    <w:rPr>
      <w:rFonts w:ascii="Univers Condensed" w:hAnsi="Univers Condensed"/>
      <w:b/>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BC40E4"/>
    <w:rPr>
      <w:rFonts w:ascii="Univers Condensed" w:eastAsia="Times New Roman" w:hAnsi="Univers Condensed" w:cs="Times New Roman"/>
      <w:b/>
      <w:sz w:val="28"/>
      <w:szCs w:val="20"/>
      <w:lang w:eastAsia="hr-HR"/>
    </w:rPr>
  </w:style>
  <w:style w:type="paragraph" w:styleId="Tijeloteksta2">
    <w:name w:val="Body Text 2"/>
    <w:basedOn w:val="Normal"/>
    <w:link w:val="Tijeloteksta2Char"/>
    <w:rsid w:val="00BC40E4"/>
    <w:pPr>
      <w:jc w:val="both"/>
    </w:pPr>
    <w:rPr>
      <w:rFonts w:ascii="Univers Condensed" w:hAnsi="Univers Condensed"/>
      <w:sz w:val="28"/>
      <w:lang w:val="hr-HR"/>
    </w:rPr>
  </w:style>
  <w:style w:type="character" w:customStyle="1" w:styleId="Tijeloteksta2Char">
    <w:name w:val="Tijelo teksta 2 Char"/>
    <w:basedOn w:val="Zadanifontodlomka"/>
    <w:link w:val="Tijeloteksta2"/>
    <w:rsid w:val="00BC40E4"/>
    <w:rPr>
      <w:rFonts w:ascii="Univers Condensed" w:eastAsia="Times New Roman" w:hAnsi="Univers Condensed" w:cs="Times New Roman"/>
      <w:sz w:val="28"/>
      <w:szCs w:val="20"/>
      <w:lang w:eastAsia="hr-HR"/>
    </w:rPr>
  </w:style>
  <w:style w:type="paragraph" w:styleId="Tijeloteksta3">
    <w:name w:val="Body Text 3"/>
    <w:basedOn w:val="Normal"/>
    <w:link w:val="Tijeloteksta3Char"/>
    <w:rsid w:val="00BC40E4"/>
    <w:pPr>
      <w:jc w:val="both"/>
    </w:pPr>
    <w:rPr>
      <w:rFonts w:ascii="Univers Condensed" w:hAnsi="Univers Condensed"/>
      <w:sz w:val="26"/>
      <w:lang w:val="hr-HR"/>
    </w:rPr>
  </w:style>
  <w:style w:type="character" w:customStyle="1" w:styleId="Tijeloteksta3Char">
    <w:name w:val="Tijelo teksta 3 Char"/>
    <w:basedOn w:val="Zadanifontodlomka"/>
    <w:link w:val="Tijeloteksta3"/>
    <w:rsid w:val="00BC40E4"/>
    <w:rPr>
      <w:rFonts w:ascii="Univers Condensed" w:eastAsia="Times New Roman" w:hAnsi="Univers Condensed" w:cs="Times New Roman"/>
      <w:sz w:val="26"/>
      <w:szCs w:val="20"/>
      <w:lang w:eastAsia="hr-HR"/>
    </w:rPr>
  </w:style>
  <w:style w:type="paragraph" w:styleId="Odlomakpopisa">
    <w:name w:val="List Paragraph"/>
    <w:basedOn w:val="Normal"/>
    <w:uiPriority w:val="34"/>
    <w:qFormat/>
    <w:rsid w:val="00BC40E4"/>
    <w:pPr>
      <w:ind w:left="720"/>
      <w:contextualSpacing/>
    </w:pPr>
  </w:style>
  <w:style w:type="paragraph" w:styleId="Tekstbalonia">
    <w:name w:val="Balloon Text"/>
    <w:basedOn w:val="Normal"/>
    <w:link w:val="TekstbaloniaChar"/>
    <w:uiPriority w:val="99"/>
    <w:semiHidden/>
    <w:unhideWhenUsed/>
    <w:rsid w:val="00236640"/>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40"/>
    <w:rPr>
      <w:rFonts w:ascii="Tahoma" w:eastAsia="Times New Roman" w:hAnsi="Tahoma" w:cs="Tahoma"/>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059">
      <w:bodyDiv w:val="1"/>
      <w:marLeft w:val="0"/>
      <w:marRight w:val="0"/>
      <w:marTop w:val="0"/>
      <w:marBottom w:val="0"/>
      <w:divBdr>
        <w:top w:val="none" w:sz="0" w:space="0" w:color="auto"/>
        <w:left w:val="none" w:sz="0" w:space="0" w:color="auto"/>
        <w:bottom w:val="none" w:sz="0" w:space="0" w:color="auto"/>
        <w:right w:val="none" w:sz="0" w:space="0" w:color="auto"/>
      </w:divBdr>
    </w:div>
    <w:div w:id="235092814">
      <w:bodyDiv w:val="1"/>
      <w:marLeft w:val="0"/>
      <w:marRight w:val="0"/>
      <w:marTop w:val="0"/>
      <w:marBottom w:val="0"/>
      <w:divBdr>
        <w:top w:val="none" w:sz="0" w:space="0" w:color="auto"/>
        <w:left w:val="none" w:sz="0" w:space="0" w:color="auto"/>
        <w:bottom w:val="none" w:sz="0" w:space="0" w:color="auto"/>
        <w:right w:val="none" w:sz="0" w:space="0" w:color="auto"/>
      </w:divBdr>
    </w:div>
    <w:div w:id="420689534">
      <w:bodyDiv w:val="1"/>
      <w:marLeft w:val="0"/>
      <w:marRight w:val="0"/>
      <w:marTop w:val="0"/>
      <w:marBottom w:val="0"/>
      <w:divBdr>
        <w:top w:val="none" w:sz="0" w:space="0" w:color="auto"/>
        <w:left w:val="none" w:sz="0" w:space="0" w:color="auto"/>
        <w:bottom w:val="none" w:sz="0" w:space="0" w:color="auto"/>
        <w:right w:val="none" w:sz="0" w:space="0" w:color="auto"/>
      </w:divBdr>
    </w:div>
    <w:div w:id="532039078">
      <w:bodyDiv w:val="1"/>
      <w:marLeft w:val="0"/>
      <w:marRight w:val="0"/>
      <w:marTop w:val="0"/>
      <w:marBottom w:val="0"/>
      <w:divBdr>
        <w:top w:val="none" w:sz="0" w:space="0" w:color="auto"/>
        <w:left w:val="none" w:sz="0" w:space="0" w:color="auto"/>
        <w:bottom w:val="none" w:sz="0" w:space="0" w:color="auto"/>
        <w:right w:val="none" w:sz="0" w:space="0" w:color="auto"/>
      </w:divBdr>
    </w:div>
    <w:div w:id="580412488">
      <w:bodyDiv w:val="1"/>
      <w:marLeft w:val="0"/>
      <w:marRight w:val="0"/>
      <w:marTop w:val="0"/>
      <w:marBottom w:val="0"/>
      <w:divBdr>
        <w:top w:val="none" w:sz="0" w:space="0" w:color="auto"/>
        <w:left w:val="none" w:sz="0" w:space="0" w:color="auto"/>
        <w:bottom w:val="none" w:sz="0" w:space="0" w:color="auto"/>
        <w:right w:val="none" w:sz="0" w:space="0" w:color="auto"/>
      </w:divBdr>
    </w:div>
    <w:div w:id="1028718905">
      <w:bodyDiv w:val="1"/>
      <w:marLeft w:val="0"/>
      <w:marRight w:val="0"/>
      <w:marTop w:val="0"/>
      <w:marBottom w:val="0"/>
      <w:divBdr>
        <w:top w:val="none" w:sz="0" w:space="0" w:color="auto"/>
        <w:left w:val="none" w:sz="0" w:space="0" w:color="auto"/>
        <w:bottom w:val="none" w:sz="0" w:space="0" w:color="auto"/>
        <w:right w:val="none" w:sz="0" w:space="0" w:color="auto"/>
      </w:divBdr>
    </w:div>
    <w:div w:id="1172335028">
      <w:bodyDiv w:val="1"/>
      <w:marLeft w:val="0"/>
      <w:marRight w:val="0"/>
      <w:marTop w:val="0"/>
      <w:marBottom w:val="0"/>
      <w:divBdr>
        <w:top w:val="none" w:sz="0" w:space="0" w:color="auto"/>
        <w:left w:val="none" w:sz="0" w:space="0" w:color="auto"/>
        <w:bottom w:val="none" w:sz="0" w:space="0" w:color="auto"/>
        <w:right w:val="none" w:sz="0" w:space="0" w:color="auto"/>
      </w:divBdr>
    </w:div>
    <w:div w:id="1248542862">
      <w:bodyDiv w:val="1"/>
      <w:marLeft w:val="0"/>
      <w:marRight w:val="0"/>
      <w:marTop w:val="0"/>
      <w:marBottom w:val="0"/>
      <w:divBdr>
        <w:top w:val="none" w:sz="0" w:space="0" w:color="auto"/>
        <w:left w:val="none" w:sz="0" w:space="0" w:color="auto"/>
        <w:bottom w:val="none" w:sz="0" w:space="0" w:color="auto"/>
        <w:right w:val="none" w:sz="0" w:space="0" w:color="auto"/>
      </w:divBdr>
    </w:div>
    <w:div w:id="1327244431">
      <w:bodyDiv w:val="1"/>
      <w:marLeft w:val="0"/>
      <w:marRight w:val="0"/>
      <w:marTop w:val="0"/>
      <w:marBottom w:val="0"/>
      <w:divBdr>
        <w:top w:val="none" w:sz="0" w:space="0" w:color="auto"/>
        <w:left w:val="none" w:sz="0" w:space="0" w:color="auto"/>
        <w:bottom w:val="none" w:sz="0" w:space="0" w:color="auto"/>
        <w:right w:val="none" w:sz="0" w:space="0" w:color="auto"/>
      </w:divBdr>
    </w:div>
    <w:div w:id="1329020841">
      <w:bodyDiv w:val="1"/>
      <w:marLeft w:val="0"/>
      <w:marRight w:val="0"/>
      <w:marTop w:val="0"/>
      <w:marBottom w:val="0"/>
      <w:divBdr>
        <w:top w:val="none" w:sz="0" w:space="0" w:color="auto"/>
        <w:left w:val="none" w:sz="0" w:space="0" w:color="auto"/>
        <w:bottom w:val="none" w:sz="0" w:space="0" w:color="auto"/>
        <w:right w:val="none" w:sz="0" w:space="0" w:color="auto"/>
      </w:divBdr>
    </w:div>
    <w:div w:id="1347437261">
      <w:bodyDiv w:val="1"/>
      <w:marLeft w:val="0"/>
      <w:marRight w:val="0"/>
      <w:marTop w:val="0"/>
      <w:marBottom w:val="0"/>
      <w:divBdr>
        <w:top w:val="none" w:sz="0" w:space="0" w:color="auto"/>
        <w:left w:val="none" w:sz="0" w:space="0" w:color="auto"/>
        <w:bottom w:val="none" w:sz="0" w:space="0" w:color="auto"/>
        <w:right w:val="none" w:sz="0" w:space="0" w:color="auto"/>
      </w:divBdr>
    </w:div>
    <w:div w:id="1426196002">
      <w:bodyDiv w:val="1"/>
      <w:marLeft w:val="0"/>
      <w:marRight w:val="0"/>
      <w:marTop w:val="0"/>
      <w:marBottom w:val="0"/>
      <w:divBdr>
        <w:top w:val="none" w:sz="0" w:space="0" w:color="auto"/>
        <w:left w:val="none" w:sz="0" w:space="0" w:color="auto"/>
        <w:bottom w:val="none" w:sz="0" w:space="0" w:color="auto"/>
        <w:right w:val="none" w:sz="0" w:space="0" w:color="auto"/>
      </w:divBdr>
    </w:div>
    <w:div w:id="1583875439">
      <w:bodyDiv w:val="1"/>
      <w:marLeft w:val="0"/>
      <w:marRight w:val="0"/>
      <w:marTop w:val="0"/>
      <w:marBottom w:val="0"/>
      <w:divBdr>
        <w:top w:val="none" w:sz="0" w:space="0" w:color="auto"/>
        <w:left w:val="none" w:sz="0" w:space="0" w:color="auto"/>
        <w:bottom w:val="none" w:sz="0" w:space="0" w:color="auto"/>
        <w:right w:val="none" w:sz="0" w:space="0" w:color="auto"/>
      </w:divBdr>
    </w:div>
    <w:div w:id="1791850061">
      <w:bodyDiv w:val="1"/>
      <w:marLeft w:val="0"/>
      <w:marRight w:val="0"/>
      <w:marTop w:val="0"/>
      <w:marBottom w:val="0"/>
      <w:divBdr>
        <w:top w:val="none" w:sz="0" w:space="0" w:color="auto"/>
        <w:left w:val="none" w:sz="0" w:space="0" w:color="auto"/>
        <w:bottom w:val="none" w:sz="0" w:space="0" w:color="auto"/>
        <w:right w:val="none" w:sz="0" w:space="0" w:color="auto"/>
      </w:divBdr>
    </w:div>
    <w:div w:id="1810585366">
      <w:bodyDiv w:val="1"/>
      <w:marLeft w:val="0"/>
      <w:marRight w:val="0"/>
      <w:marTop w:val="0"/>
      <w:marBottom w:val="0"/>
      <w:divBdr>
        <w:top w:val="none" w:sz="0" w:space="0" w:color="auto"/>
        <w:left w:val="none" w:sz="0" w:space="0" w:color="auto"/>
        <w:bottom w:val="none" w:sz="0" w:space="0" w:color="auto"/>
        <w:right w:val="none" w:sz="0" w:space="0" w:color="auto"/>
      </w:divBdr>
    </w:div>
    <w:div w:id="1817602548">
      <w:bodyDiv w:val="1"/>
      <w:marLeft w:val="0"/>
      <w:marRight w:val="0"/>
      <w:marTop w:val="0"/>
      <w:marBottom w:val="0"/>
      <w:divBdr>
        <w:top w:val="none" w:sz="0" w:space="0" w:color="auto"/>
        <w:left w:val="none" w:sz="0" w:space="0" w:color="auto"/>
        <w:bottom w:val="none" w:sz="0" w:space="0" w:color="auto"/>
        <w:right w:val="none" w:sz="0" w:space="0" w:color="auto"/>
      </w:divBdr>
    </w:div>
    <w:div w:id="1857117596">
      <w:bodyDiv w:val="1"/>
      <w:marLeft w:val="0"/>
      <w:marRight w:val="0"/>
      <w:marTop w:val="0"/>
      <w:marBottom w:val="0"/>
      <w:divBdr>
        <w:top w:val="none" w:sz="0" w:space="0" w:color="auto"/>
        <w:left w:val="none" w:sz="0" w:space="0" w:color="auto"/>
        <w:bottom w:val="none" w:sz="0" w:space="0" w:color="auto"/>
        <w:right w:val="none" w:sz="0" w:space="0" w:color="auto"/>
      </w:divBdr>
    </w:div>
    <w:div w:id="1859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ABDA.9F68EBB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FB9D-63CD-4338-A7E2-A86473F6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dc:creator>
  <cp:lastModifiedBy>Windows User</cp:lastModifiedBy>
  <cp:revision>2</cp:revision>
  <cp:lastPrinted>2023-02-01T07:45:00Z</cp:lastPrinted>
  <dcterms:created xsi:type="dcterms:W3CDTF">2023-02-01T07:46:00Z</dcterms:created>
  <dcterms:modified xsi:type="dcterms:W3CDTF">2023-02-01T07:46:00Z</dcterms:modified>
</cp:coreProperties>
</file>