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Ličilački radovi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Beton - svojstva: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porozan, vodoupojan materijal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- alkalan materijal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Za ličenje ne smije sadržavati sumpor koji bi uništio nalič i ne smije sadržavati organske tvari kao što su drvo, treset koji bi prljali nalič.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Prije izrade naliča betonska površina mora se zidarski obraditi. Neravnine poravnati, pukotone zapuniti, izbočine ukloniti. Površinu betonske podloge otprašiti, nanesti impregnaciju i zagletati. Impregnacijom postižemo uiednačenost upijanja betonske podloge.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Kamen - obrada: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neobrađeni lomljeni kamen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obrađeni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naročito obrađen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drobljeni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mljeveni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Šljunak se dobije drobljenjem kamena (čeljusne drobilice), i može biti fini do 15 mm promjera i grubi šljunak do 70 mm promjera.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Pijesak se dobije mljevenjem kamena (mlinovi čekičari), i imamo: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vrlo fini pijesak do 0,2 mm  promjera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 pijesak do 0,5 mm promjera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srednje fini pijesak do 1 mm promjera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sreddnje grubi pijesak do 3 mm promjera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grubi pijesak do 7 mm promjera.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Kamene podloge su podloge od kamena koje se iz biko kojeg razloga liče. U pravili se uglavnom zaštičuju dubinskim prozirnim premazima koji spriječavaju zagađivanje podloge i omogućuju bolje održavanje čistoće.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Pitanja: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Svojstva betona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Predradnje na betonskoj podlozi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Obrada kamena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